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02886" w14:textId="45DF477E" w:rsidR="00B741C0" w:rsidRDefault="00E72CE7" w:rsidP="00B741C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TISKOVÁ ZPRÁVA</w:t>
      </w:r>
    </w:p>
    <w:p w14:paraId="6A4AD09D" w14:textId="22131A4B" w:rsidR="00CA7506" w:rsidRPr="00CA7506" w:rsidRDefault="00CA7506" w:rsidP="00037943">
      <w:pPr>
        <w:jc w:val="center"/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</w:pPr>
      <w:r w:rsidRPr="00CA7506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 xml:space="preserve">Ekonomická pomoc </w:t>
      </w:r>
      <w:r w:rsidR="007613B9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>při koronavirové krizi</w:t>
      </w:r>
      <w:r w:rsidRPr="00CA7506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 xml:space="preserve"> musí být nadstavba. </w:t>
      </w:r>
      <w:r w:rsidR="007613B9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>Nesmí</w:t>
      </w:r>
      <w:r w:rsidRPr="00CA7506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 xml:space="preserve"> narušit existující dotační programy, ale </w:t>
      </w:r>
      <w:r w:rsidR="007613B9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 xml:space="preserve">naopak </w:t>
      </w:r>
      <w:r w:rsidRPr="00CA7506">
        <w:rPr>
          <w:rFonts w:ascii="Arial" w:eastAsiaTheme="minorEastAsia" w:hAnsi="Arial" w:cs="Arial"/>
          <w:b/>
          <w:bCs/>
          <w:noProof/>
          <w:color w:val="000000"/>
          <w:sz w:val="32"/>
          <w:szCs w:val="32"/>
          <w:lang w:eastAsia="cs-CZ"/>
        </w:rPr>
        <w:t>přijít s novými</w:t>
      </w:r>
    </w:p>
    <w:p w14:paraId="021A205F" w14:textId="56EA752C" w:rsidR="00CA7506" w:rsidRPr="00037943" w:rsidRDefault="00E634B3" w:rsidP="00CA7506">
      <w:pPr>
        <w:jc w:val="both"/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</w:pPr>
      <w:r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Praha, </w:t>
      </w:r>
      <w:r w:rsidR="00CA7506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28</w:t>
      </w:r>
      <w:r w:rsidR="00611112" w:rsidRPr="00611112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. </w:t>
      </w:r>
      <w:r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dubna</w:t>
      </w:r>
      <w:r w:rsidR="00611112" w:rsidRPr="00611112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2020</w:t>
      </w:r>
      <w:r w:rsidR="00611112" w:rsidRPr="00611112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  <w:r w:rsidR="00611112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–</w:t>
      </w:r>
      <w:r w:rsidR="00F94C9F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  <w:r w:rsidR="00CA7506" w:rsidRPr="0003794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>Vláda by</w:t>
      </w:r>
      <w:r w:rsidR="00AB690D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</w:t>
      </w:r>
      <w:r w:rsidR="00BD042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měla </w:t>
      </w:r>
      <w:r w:rsidR="00CA7506" w:rsidRPr="0003794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>zachovat veškeré</w:t>
      </w:r>
      <w:r w:rsidR="00AB690D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dotační</w:t>
      </w:r>
      <w:r w:rsidR="00CA7506" w:rsidRPr="0003794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programy pro firmy, města a obce, které jim umožňují vyšší efektivitu, modernizaci, digitalizaci a ochranu životního p</w:t>
      </w:r>
      <w:r w:rsidR="00BD042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>rostředí. Stejným směrem by měl stát</w:t>
      </w:r>
      <w:r w:rsidR="00CA7506" w:rsidRPr="0003794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směřovat také balíky</w:t>
      </w:r>
      <w:r w:rsidR="00BD042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smysluplných</w:t>
      </w:r>
      <w:r w:rsidR="00CA7506" w:rsidRPr="0003794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 xml:space="preserve"> investičních opatření na povzbuzení české ekonomiky. </w:t>
      </w:r>
      <w:r w:rsidR="00BD0423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eastAsia="cs-CZ"/>
        </w:rPr>
        <w:t>Uvedla to Hospodářská komora spolu se Svazem měst a obcí a společností Deloitte.</w:t>
      </w:r>
    </w:p>
    <w:p w14:paraId="3F5896E2" w14:textId="6E481AA9" w:rsidR="00CA7506" w:rsidRPr="00CA7506" w:rsidRDefault="00CA7506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Současná pandemie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covid-19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klade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podle Komory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obrovské nároky na 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vládu, kraje, obce, firmy i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celou </w:t>
      </w:r>
      <w:r w:rsidR="0003794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ekonomiku a 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společnost. 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Jakkoliv podnikatelé rozumí tomu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, že vláda hledá všechny možnosti, jak získat prostředky nutn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é pro záchranu české ekonomiky, neměla by jednat unáhleně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. Je 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nepochybné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, že část prostředků z kohezních fondů bude 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nutné </w:t>
      </w:r>
      <w:r w:rsidR="00A8312B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účelně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přesunout na pomoc 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s ekonomickými dopady koronaviru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,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zároveň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je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ale třeba 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zachovat možnosti čerpání u existujících programů, které jsou nastaveny správně a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prokazatelně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fungují. </w:t>
      </w:r>
    </w:p>
    <w:p w14:paraId="74BC8876" w14:textId="344D9660" w:rsidR="00CA7506" w:rsidRPr="00CA7506" w:rsidRDefault="00CA7506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„Všechny západní vlády i ta česká nyní přicházejí s balíky záchranných opatření, jako jsou záruky, půjčky nebo pomoc pro občany. To je ale pouze první krok určený na okamžitou nápr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avu. Naši ekonomiku musíme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rozpohybovat investicemi. Proto je nutné nejen přijít s dalšími balíky investičních opatření, ale také zachovat dotační tituly, které investiční aktivitu umožňují a které mohou k oživení ekonomiky přispět. Není možné pouze přesunout peníze z jedné hromádky na druhou a</w:t>
      </w:r>
      <w:r w:rsid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přelakovat je na novou podporu</w:t>
      </w:r>
      <w:r w:rsidR="00BD0423"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,“</w:t>
      </w:r>
      <w:r w:rsidR="00BD0423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upozorňuje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prezident Hospodářské komory ČR Vladimír Dlouhý.</w:t>
      </w:r>
    </w:p>
    <w:p w14:paraId="0DA67124" w14:textId="228A3502" w:rsidR="007613B9" w:rsidRDefault="007613B9" w:rsidP="007613B9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Stejný názor na zachování dotačních programů mají i tuzemská města a obce. Zejména menší obecní úřady a radnice potřebují udržet investiční aktivitu např. při modernizaci obcí. 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V současném stavu bohužel samosprávy nemají 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podle Svazu měst a obcí 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jistotu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,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jak se v jejich rozpočtových příjmech krize projeví. Většina měst a obcí</w:t>
      </w:r>
      <w:r w:rsidR="000803EC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proto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nyní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řeší jen nezbytně nutné výdaje. </w:t>
      </w:r>
    </w:p>
    <w:p w14:paraId="38648495" w14:textId="4B15460C" w:rsidR="007613B9" w:rsidRPr="007613B9" w:rsidRDefault="007613B9" w:rsidP="007613B9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„</w:t>
      </w:r>
      <w:r w:rsid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Hrozí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tak</w:t>
      </w:r>
      <w:r w:rsid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zastavení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zadávání veřejných zakázek i místním podnikatelům a živnostníkům, kteř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í mohou zkrachovat a zavřít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provo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zovny či přestat poskytovat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služby. Tím pádem přijde o práci řada lidí. </w:t>
      </w:r>
      <w:r w:rsid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Nechceme připustit roztočení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spirály nezaměstnanosti a chudoby napříč celou republikou. Stát teď nesmí začít šetřit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na nesprávném místě, naopak musí připravit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škálu podpůrných programů či dotačních výzev a v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yužít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evropské peníze. Jsou to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totiž </w:t>
      </w:r>
      <w:r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právě obce a města, která mohou svými investicemi podržet ekonomiku celého státu,“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říká předseda Svazu měst a obcí a starosta Kyjova František Lukl.</w:t>
      </w:r>
      <w:r w:rsidRP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</w:p>
    <w:p w14:paraId="7FCBFE7D" w14:textId="3B513960" w:rsidR="00CA7506" w:rsidRPr="00CA7506" w:rsidRDefault="00CA7506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lastRenderedPageBreak/>
        <w:t>Příkladem jsou</w:t>
      </w:r>
      <w:r w:rsidR="000803EC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podle Svazu 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prostředky v Operačním pr</w:t>
      </w:r>
      <w:r w:rsid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ogramu Životní prostředí 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na modernizaci českých obcí. </w:t>
      </w:r>
      <w:r w:rsidR="007613B9"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„Se znepokojením jsme 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sledovali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návrhy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,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aby se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přesunuly</w:t>
      </w:r>
      <w:r w:rsidR="00F94C9F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peníze</w:t>
      </w:r>
      <w:r w:rsidR="00B27C58"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na zlepšování kvality životního prostředí, které Evropa alokuje v rámci svých klimatických cílů. OPŽP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přitom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podle nás funguje dobře a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znamená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miliardové investice s vysokou přidanou hodnotou do snižování energetické náročnosti, chytrých řešení a čistšího ovzduší. Budou navíc dávat práci tisícovkám 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lidí</w:t>
      </w:r>
      <w:r w:rsidR="007613B9"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,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“</w:t>
      </w:r>
      <w:r w:rsid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dodává Lukl.</w:t>
      </w:r>
    </w:p>
    <w:p w14:paraId="185C65D9" w14:textId="4882203E" w:rsidR="007613B9" w:rsidRDefault="00B27C58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Podle 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Hospodářské komory ČR a Svazu měst a obcí ČR by bylo nešťastné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v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kohezních fondech dělat zmatek. J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e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navíc možné 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přesunout případně jen ty prostředky, které vyčerpat prokazatelně nepůjde. </w:t>
      </w:r>
      <w:r w:rsidR="007613B9"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„</w:t>
      </w:r>
      <w:r w:rsidR="00CA7506"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Ať už považujeme nebo</w:t>
      </w:r>
      <w:r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nepovažujeme například cíle takzvané</w:t>
      </w:r>
      <w:r w:rsidR="00CA7506"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Zelené dohody v roce 2050 za realistické, je jasné, že investice na ochranu životního prostředí a snižování energetické náročnosti jsou smysluplné a zahrnují digitalizaci, automatizaci a mají pro český průmysl vysokou přidanou hodnotu a pro české obce </w:t>
      </w:r>
      <w:r w:rsidR="007613B9" w:rsidRPr="007613B9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vysokou společenskou důležitost,“</w:t>
      </w:r>
      <w:r w:rsid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vysvětluje Dlouhý.</w:t>
      </w:r>
    </w:p>
    <w:p w14:paraId="4FEF09B4" w14:textId="1DFCD745" w:rsidR="00CA7506" w:rsidRPr="00CA7506" w:rsidRDefault="000803EC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Překreslování dotační mapy neprospěje podle analytiků ani české ekonomice jako celku. Česká republika jako čistý příjemce peněz z EU musí i evropské prostředky využít jako svoji konkurenční výhodu. 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„Nelze dopustit, aby nás v konkurenceschopnosti v příštích měsících a letech předběhly </w:t>
      </w:r>
      <w:r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jiné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státy. Dobře nastavená investiční politika může v budoucnu přilákat také investice s vysokou přidanou hodnotou, po kterých všichni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včetně politiků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 xml:space="preserve"> dlouhodobě vo</w:t>
      </w:r>
      <w:r w:rsidR="00B27C58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lají</w:t>
      </w:r>
      <w:r w:rsidRPr="000803EC">
        <w:rPr>
          <w:rFonts w:ascii="Arial" w:eastAsiaTheme="minorEastAsia" w:hAnsi="Arial" w:cs="Arial"/>
          <w:bCs/>
          <w:i/>
          <w:noProof/>
          <w:color w:val="000000"/>
          <w:sz w:val="24"/>
          <w:szCs w:val="24"/>
          <w:lang w:eastAsia="cs-CZ"/>
        </w:rPr>
        <w:t>. Pokud bude vláda jednat zbrkle a nebude komunikovat s podnikateli a obcemi, hrozí, že investoři půjdou jinam a Česká republika vypadne z peletonu nejúspěšnějších zemí,“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popisuje hlavní ekonom společnosti Deloitte David Marek.</w:t>
      </w:r>
    </w:p>
    <w:p w14:paraId="551FD025" w14:textId="5FDCECFD" w:rsidR="00BF27CA" w:rsidRPr="000803EC" w:rsidRDefault="000803EC" w:rsidP="00CA7506">
      <w:pPr>
        <w:jc w:val="both"/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</w:pP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Např. Švédsko nebo Dánsko, které dává vláda za vzor v rámci 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Inovační strategie České republiky 2019 </w:t>
      </w:r>
      <w:r w:rsidR="00A8312B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až</w:t>
      </w:r>
      <w:r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2030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, do nových technologií investují ve velkém. 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Navíc nejen samotná Evropská kom</w:t>
      </w:r>
      <w:r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ise, ale i velké státy včetně Německa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deklarují, že chtějí práci na Zelené dohodě ještě zintenzivnit a směřovat protikrizové investice právě směrem ke zlepšování životního prostředí. Podle názoru Hospodářské komo</w:t>
      </w:r>
      <w:r w:rsidR="00A8312B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ry a Svazu měst a obcí by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Česká republika neměla bojovat s větrnými mlýny</w:t>
      </w:r>
      <w:r w:rsidR="00FF03DF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,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a naopak v této těžké době 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účelně a naplno</w:t>
      </w:r>
      <w:r w:rsidR="00CA7506" w:rsidRPr="00CA7506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 využít možností a štědrých prostředků, které Evrop</w:t>
      </w:r>
      <w:r w:rsid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 xml:space="preserve">a </w:t>
      </w:r>
      <w:r w:rsidR="00B27C58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v tomto odvětví poskytuje</w:t>
      </w:r>
      <w:r w:rsidR="007613B9">
        <w:rPr>
          <w:rFonts w:ascii="Arial" w:eastAsiaTheme="minorEastAsia" w:hAnsi="Arial" w:cs="Arial"/>
          <w:bCs/>
          <w:noProof/>
          <w:color w:val="000000"/>
          <w:sz w:val="24"/>
          <w:szCs w:val="24"/>
          <w:lang w:eastAsia="cs-CZ"/>
        </w:rPr>
        <w:t>.</w:t>
      </w:r>
      <w:bookmarkStart w:id="0" w:name="_GoBack"/>
      <w:bookmarkEnd w:id="0"/>
    </w:p>
    <w:p w14:paraId="1A4DB228" w14:textId="6891E290" w:rsidR="0058737E" w:rsidRDefault="0058737E" w:rsidP="0058737E">
      <w:pPr>
        <w:rPr>
          <w:rFonts w:ascii="Arial" w:eastAsiaTheme="minorEastAsia" w:hAnsi="Arial" w:cs="Arial"/>
          <w:noProof/>
          <w:color w:val="707070"/>
          <w:kern w:val="0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000000"/>
          <w:lang w:eastAsia="cs-CZ"/>
        </w:rPr>
        <w:t>Miroslav Beneš </w:t>
      </w:r>
      <w:r>
        <w:rPr>
          <w:rFonts w:ascii="Arial" w:eastAsiaTheme="minorEastAsia" w:hAnsi="Arial" w:cs="Arial"/>
          <w:noProof/>
          <w:color w:val="000000"/>
          <w:lang w:eastAsia="cs-CZ"/>
        </w:rPr>
        <w:br/>
      </w:r>
      <w:r>
        <w:rPr>
          <w:rFonts w:ascii="Arial" w:eastAsiaTheme="minorEastAsia" w:hAnsi="Arial" w:cs="Arial"/>
          <w:noProof/>
          <w:color w:val="707070"/>
          <w:lang w:eastAsia="cs-CZ"/>
        </w:rPr>
        <w:t>Odbor vnější komunikace</w:t>
      </w:r>
      <w:r>
        <w:rPr>
          <w:rFonts w:ascii="Arial" w:eastAsiaTheme="minorEastAsia" w:hAnsi="Arial" w:cs="Arial"/>
          <w:noProof/>
          <w:color w:val="707070"/>
          <w:lang w:eastAsia="cs-CZ"/>
        </w:rPr>
        <w:br/>
      </w:r>
      <w:r>
        <w:rPr>
          <w:rFonts w:ascii="Arial" w:eastAsiaTheme="minorEastAsia" w:hAnsi="Arial" w:cs="Arial"/>
          <w:noProof/>
          <w:color w:val="000000"/>
          <w:lang w:eastAsia="cs-CZ"/>
        </w:rPr>
        <w:t>Hospodářská komora České republiky</w:t>
      </w:r>
      <w:r>
        <w:rPr>
          <w:rFonts w:ascii="Arial" w:eastAsiaTheme="minorEastAsia" w:hAnsi="Arial" w:cs="Arial"/>
          <w:noProof/>
          <w:color w:val="707070"/>
          <w:lang w:eastAsia="cs-CZ"/>
        </w:rPr>
        <w:br/>
        <w:t>M: +420 725 211 811</w:t>
      </w:r>
    </w:p>
    <w:p w14:paraId="31B85C3C" w14:textId="15F083A9" w:rsidR="0058737E" w:rsidRPr="00796B4D" w:rsidRDefault="002D497D" w:rsidP="0058737E">
      <w:pPr>
        <w:rPr>
          <w:rFonts w:asciiTheme="minorHAnsi" w:eastAsiaTheme="minorEastAsia" w:hAnsiTheme="minorHAnsi" w:cstheme="minorBidi"/>
          <w:noProof/>
          <w:lang w:eastAsia="cs-CZ"/>
        </w:rPr>
      </w:pPr>
      <w:hyperlink r:id="rId8" w:history="1">
        <w:r w:rsidR="0058737E" w:rsidRPr="003E13D7">
          <w:rPr>
            <w:rStyle w:val="Hypertextovodkaz"/>
            <w:rFonts w:ascii="Arial" w:eastAsiaTheme="minorEastAsia" w:hAnsi="Arial" w:cs="Arial"/>
            <w:noProof/>
            <w:lang w:eastAsia="cs-CZ"/>
          </w:rPr>
          <w:t>benes@komora.cz</w:t>
        </w:r>
      </w:hyperlink>
      <w:r w:rsidR="0058737E">
        <w:rPr>
          <w:rFonts w:ascii="Arial" w:eastAsiaTheme="minorEastAsia" w:hAnsi="Arial" w:cs="Arial"/>
          <w:noProof/>
          <w:color w:val="000000"/>
          <w:lang w:eastAsia="cs-CZ"/>
        </w:rPr>
        <w:t> </w:t>
      </w:r>
      <w:r w:rsidR="0058737E">
        <w:rPr>
          <w:rFonts w:ascii="Arial" w:eastAsiaTheme="minorEastAsia" w:hAnsi="Arial" w:cs="Arial"/>
          <w:b/>
          <w:bCs/>
          <w:noProof/>
          <w:color w:val="000000"/>
          <w:lang w:eastAsia="cs-CZ"/>
        </w:rPr>
        <w:t>•</w:t>
      </w:r>
      <w:r w:rsidR="0058737E">
        <w:rPr>
          <w:rFonts w:ascii="Arial" w:eastAsiaTheme="minorEastAsia" w:hAnsi="Arial" w:cs="Arial"/>
          <w:noProof/>
          <w:color w:val="000000"/>
          <w:lang w:eastAsia="cs-CZ"/>
        </w:rPr>
        <w:t> </w:t>
      </w:r>
      <w:hyperlink r:id="rId9" w:history="1">
        <w:r w:rsidR="0058737E">
          <w:rPr>
            <w:rStyle w:val="Hypertextovodkaz"/>
            <w:rFonts w:ascii="Arial" w:eastAsiaTheme="minorEastAsia" w:hAnsi="Arial" w:cs="Arial"/>
            <w:noProof/>
            <w:color w:val="000000"/>
            <w:lang w:eastAsia="cs-CZ"/>
          </w:rPr>
          <w:t>www.komora.cz</w:t>
        </w:r>
      </w:hyperlink>
    </w:p>
    <w:p w14:paraId="08B72A04" w14:textId="77777777" w:rsidR="0058737E" w:rsidRDefault="0058737E" w:rsidP="0058737E">
      <w:pPr>
        <w:rPr>
          <w:rFonts w:eastAsiaTheme="minorEastAsia"/>
          <w:noProof/>
          <w:lang w:eastAsia="cs-CZ"/>
        </w:rPr>
      </w:pPr>
      <w:r w:rsidRPr="00015B69">
        <w:rPr>
          <w:noProof/>
          <w:lang w:eastAsia="cs-CZ"/>
        </w:rPr>
        <w:drawing>
          <wp:inline distT="0" distB="0" distL="0" distR="0" wp14:anchorId="75D3821D" wp14:editId="4E33883F">
            <wp:extent cx="1645920" cy="467202"/>
            <wp:effectExtent l="0" t="0" r="0" b="9525"/>
            <wp:docPr id="3" name="Obrázek 3" descr="N:\_Spolecne\Nové logo HK ČR k 25. výročí\Logo bez 25\wetransfer-be66dc\HK_CR_-logo_CZ-logo_zakl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_Spolecne\Nové logo HK ČR k 25. výročí\Logo bez 25\wetransfer-be66dc\HK_CR_-logo_CZ-logo_zakladn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68" cy="47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37E" w:rsidSect="00701317">
      <w:headerReference w:type="default" r:id="rId11"/>
      <w:footerReference w:type="default" r:id="rId12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9262" w16cex:dateUtc="2020-04-20T19:2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641E1" w14:textId="77777777" w:rsidR="002D497D" w:rsidRDefault="002D497D" w:rsidP="00FA7787">
      <w:pPr>
        <w:spacing w:after="0" w:line="240" w:lineRule="auto"/>
      </w:pPr>
      <w:r>
        <w:separator/>
      </w:r>
    </w:p>
  </w:endnote>
  <w:endnote w:type="continuationSeparator" w:id="0">
    <w:p w14:paraId="07B4E40E" w14:textId="77777777" w:rsidR="002D497D" w:rsidRDefault="002D497D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FCDF" w14:textId="77777777" w:rsidR="00EC18C0" w:rsidRPr="00701317" w:rsidRDefault="00796B4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SÍLA  /  RESPEKT  /  NEZÁVISLOST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  <w:t xml:space="preserve">        </w:t>
    </w: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F9139" w14:textId="77777777" w:rsidR="002D497D" w:rsidRDefault="002D497D" w:rsidP="00FA7787">
      <w:pPr>
        <w:spacing w:after="0" w:line="240" w:lineRule="auto"/>
      </w:pPr>
      <w:r>
        <w:separator/>
      </w:r>
    </w:p>
  </w:footnote>
  <w:footnote w:type="continuationSeparator" w:id="0">
    <w:p w14:paraId="684AAEDE" w14:textId="77777777" w:rsidR="002D497D" w:rsidRDefault="002D497D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C775F" w14:textId="3410D70B" w:rsidR="002170A2" w:rsidRDefault="00015B69" w:rsidP="00796B4D">
    <w:pPr>
      <w:pStyle w:val="Zhlav"/>
      <w:tabs>
        <w:tab w:val="clear" w:pos="4536"/>
        <w:tab w:val="clear" w:pos="9072"/>
        <w:tab w:val="left" w:pos="3180"/>
      </w:tabs>
    </w:pPr>
    <w:r w:rsidRPr="00015B69">
      <w:rPr>
        <w:noProof/>
        <w:lang w:eastAsia="cs-CZ"/>
      </w:rPr>
      <w:drawing>
        <wp:inline distT="0" distB="0" distL="0" distR="0" wp14:anchorId="77EE6988" wp14:editId="105385F0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6B4D">
      <w:tab/>
    </w:r>
    <w:r w:rsidR="00912576">
      <w:t xml:space="preserve">                                                                                      </w:t>
    </w:r>
    <w:r w:rsidR="00912576">
      <w:rPr>
        <w:noProof/>
        <w:lang w:eastAsia="cs-CZ"/>
      </w:rPr>
      <w:drawing>
        <wp:inline distT="0" distB="0" distL="0" distR="0" wp14:anchorId="62E713FA" wp14:editId="7934025E">
          <wp:extent cx="991054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21" cy="44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C39D2" w14:textId="77777777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057E"/>
    <w:rsid w:val="00000C5C"/>
    <w:rsid w:val="00006110"/>
    <w:rsid w:val="00006E7E"/>
    <w:rsid w:val="0000736E"/>
    <w:rsid w:val="00012086"/>
    <w:rsid w:val="00015B69"/>
    <w:rsid w:val="00015D3B"/>
    <w:rsid w:val="00017E3E"/>
    <w:rsid w:val="00020FA3"/>
    <w:rsid w:val="00024B87"/>
    <w:rsid w:val="000302F9"/>
    <w:rsid w:val="00035EDB"/>
    <w:rsid w:val="00037943"/>
    <w:rsid w:val="000379D3"/>
    <w:rsid w:val="00037CDB"/>
    <w:rsid w:val="00040197"/>
    <w:rsid w:val="00040C8F"/>
    <w:rsid w:val="0004541F"/>
    <w:rsid w:val="00046A0B"/>
    <w:rsid w:val="000522F9"/>
    <w:rsid w:val="00057864"/>
    <w:rsid w:val="000579D5"/>
    <w:rsid w:val="00062219"/>
    <w:rsid w:val="0006380B"/>
    <w:rsid w:val="00063EB5"/>
    <w:rsid w:val="0007506D"/>
    <w:rsid w:val="00077F02"/>
    <w:rsid w:val="000803EC"/>
    <w:rsid w:val="0008046F"/>
    <w:rsid w:val="00082E30"/>
    <w:rsid w:val="00083274"/>
    <w:rsid w:val="00085D40"/>
    <w:rsid w:val="0008692B"/>
    <w:rsid w:val="0009409B"/>
    <w:rsid w:val="000A02FA"/>
    <w:rsid w:val="000A06E1"/>
    <w:rsid w:val="000A1E0D"/>
    <w:rsid w:val="000A2C28"/>
    <w:rsid w:val="000A4F80"/>
    <w:rsid w:val="000B12D4"/>
    <w:rsid w:val="000B1F15"/>
    <w:rsid w:val="000B302A"/>
    <w:rsid w:val="000B3F93"/>
    <w:rsid w:val="000C1A66"/>
    <w:rsid w:val="000F2691"/>
    <w:rsid w:val="000F3735"/>
    <w:rsid w:val="000F6433"/>
    <w:rsid w:val="000F7717"/>
    <w:rsid w:val="0010026F"/>
    <w:rsid w:val="0010474A"/>
    <w:rsid w:val="00107F5D"/>
    <w:rsid w:val="001132D5"/>
    <w:rsid w:val="0011468A"/>
    <w:rsid w:val="001237B9"/>
    <w:rsid w:val="00131A9F"/>
    <w:rsid w:val="00133DD3"/>
    <w:rsid w:val="00136293"/>
    <w:rsid w:val="00136E59"/>
    <w:rsid w:val="001370AA"/>
    <w:rsid w:val="001412CA"/>
    <w:rsid w:val="00143E98"/>
    <w:rsid w:val="00157980"/>
    <w:rsid w:val="00161F5A"/>
    <w:rsid w:val="00163188"/>
    <w:rsid w:val="001666FF"/>
    <w:rsid w:val="00173D99"/>
    <w:rsid w:val="00175DF9"/>
    <w:rsid w:val="001816A8"/>
    <w:rsid w:val="001826CD"/>
    <w:rsid w:val="001842D7"/>
    <w:rsid w:val="0019114D"/>
    <w:rsid w:val="00197592"/>
    <w:rsid w:val="001B27DF"/>
    <w:rsid w:val="001C01CB"/>
    <w:rsid w:val="001D3F72"/>
    <w:rsid w:val="001D426D"/>
    <w:rsid w:val="001E3AF1"/>
    <w:rsid w:val="002000E3"/>
    <w:rsid w:val="002026F9"/>
    <w:rsid w:val="002170A2"/>
    <w:rsid w:val="002232D9"/>
    <w:rsid w:val="0023132C"/>
    <w:rsid w:val="00240B3A"/>
    <w:rsid w:val="00242295"/>
    <w:rsid w:val="00251BF6"/>
    <w:rsid w:val="00252D53"/>
    <w:rsid w:val="00255AC8"/>
    <w:rsid w:val="002570E8"/>
    <w:rsid w:val="0026167D"/>
    <w:rsid w:val="00264E42"/>
    <w:rsid w:val="00277BC5"/>
    <w:rsid w:val="00281D4D"/>
    <w:rsid w:val="00283A1C"/>
    <w:rsid w:val="00284311"/>
    <w:rsid w:val="00293B04"/>
    <w:rsid w:val="00294519"/>
    <w:rsid w:val="002947D7"/>
    <w:rsid w:val="002A3BF5"/>
    <w:rsid w:val="002A4814"/>
    <w:rsid w:val="002A56FD"/>
    <w:rsid w:val="002B0F96"/>
    <w:rsid w:val="002B64FA"/>
    <w:rsid w:val="002C4EDC"/>
    <w:rsid w:val="002C6ECB"/>
    <w:rsid w:val="002C7880"/>
    <w:rsid w:val="002D497D"/>
    <w:rsid w:val="002E357A"/>
    <w:rsid w:val="002E6FFA"/>
    <w:rsid w:val="002F15EB"/>
    <w:rsid w:val="002F40B1"/>
    <w:rsid w:val="002F4227"/>
    <w:rsid w:val="002F4B45"/>
    <w:rsid w:val="002F664A"/>
    <w:rsid w:val="002F6E58"/>
    <w:rsid w:val="0030315F"/>
    <w:rsid w:val="003054F0"/>
    <w:rsid w:val="003055FF"/>
    <w:rsid w:val="00311C08"/>
    <w:rsid w:val="00321D6B"/>
    <w:rsid w:val="0033352B"/>
    <w:rsid w:val="00337154"/>
    <w:rsid w:val="003476FB"/>
    <w:rsid w:val="003600E4"/>
    <w:rsid w:val="00373541"/>
    <w:rsid w:val="00373866"/>
    <w:rsid w:val="003778AD"/>
    <w:rsid w:val="00380E5E"/>
    <w:rsid w:val="00384CDF"/>
    <w:rsid w:val="003A0BEC"/>
    <w:rsid w:val="003A31E1"/>
    <w:rsid w:val="003A3C88"/>
    <w:rsid w:val="003A4C57"/>
    <w:rsid w:val="003A4FFA"/>
    <w:rsid w:val="003B1BC9"/>
    <w:rsid w:val="003B2F65"/>
    <w:rsid w:val="003B3888"/>
    <w:rsid w:val="003B41F7"/>
    <w:rsid w:val="003B4CC2"/>
    <w:rsid w:val="003B5F00"/>
    <w:rsid w:val="003B6107"/>
    <w:rsid w:val="003B61E2"/>
    <w:rsid w:val="003B6218"/>
    <w:rsid w:val="003B6718"/>
    <w:rsid w:val="003C2786"/>
    <w:rsid w:val="003D2FA1"/>
    <w:rsid w:val="003D6016"/>
    <w:rsid w:val="003D71D1"/>
    <w:rsid w:val="003E20F0"/>
    <w:rsid w:val="003E2FC4"/>
    <w:rsid w:val="003E69DB"/>
    <w:rsid w:val="003E73A8"/>
    <w:rsid w:val="003F01FF"/>
    <w:rsid w:val="003F6B49"/>
    <w:rsid w:val="003F78E6"/>
    <w:rsid w:val="004004DD"/>
    <w:rsid w:val="00401513"/>
    <w:rsid w:val="00406FBD"/>
    <w:rsid w:val="00412441"/>
    <w:rsid w:val="00413C9C"/>
    <w:rsid w:val="00416920"/>
    <w:rsid w:val="00417587"/>
    <w:rsid w:val="00420D9B"/>
    <w:rsid w:val="00423C35"/>
    <w:rsid w:val="00435DDB"/>
    <w:rsid w:val="00436137"/>
    <w:rsid w:val="00441C48"/>
    <w:rsid w:val="0044234D"/>
    <w:rsid w:val="004425B7"/>
    <w:rsid w:val="00443E59"/>
    <w:rsid w:val="00443E90"/>
    <w:rsid w:val="0044414A"/>
    <w:rsid w:val="00451CC3"/>
    <w:rsid w:val="0045211D"/>
    <w:rsid w:val="004526BC"/>
    <w:rsid w:val="00455E1E"/>
    <w:rsid w:val="00457185"/>
    <w:rsid w:val="00463D5C"/>
    <w:rsid w:val="00471BDE"/>
    <w:rsid w:val="00474284"/>
    <w:rsid w:val="00475FE3"/>
    <w:rsid w:val="0048610C"/>
    <w:rsid w:val="00486CA2"/>
    <w:rsid w:val="004905F8"/>
    <w:rsid w:val="004917C3"/>
    <w:rsid w:val="00493A19"/>
    <w:rsid w:val="0049414F"/>
    <w:rsid w:val="004A0F6F"/>
    <w:rsid w:val="004A2B1F"/>
    <w:rsid w:val="004B0A2A"/>
    <w:rsid w:val="004B3E44"/>
    <w:rsid w:val="004B660C"/>
    <w:rsid w:val="004C0EDD"/>
    <w:rsid w:val="004C3190"/>
    <w:rsid w:val="004C6FE6"/>
    <w:rsid w:val="004C70EA"/>
    <w:rsid w:val="004D0A45"/>
    <w:rsid w:val="004D1477"/>
    <w:rsid w:val="004D5C8E"/>
    <w:rsid w:val="004D600A"/>
    <w:rsid w:val="004F3509"/>
    <w:rsid w:val="004F3D22"/>
    <w:rsid w:val="005013D5"/>
    <w:rsid w:val="00502119"/>
    <w:rsid w:val="00504534"/>
    <w:rsid w:val="00510515"/>
    <w:rsid w:val="00523037"/>
    <w:rsid w:val="005278C4"/>
    <w:rsid w:val="00527F50"/>
    <w:rsid w:val="00535E3D"/>
    <w:rsid w:val="005505F1"/>
    <w:rsid w:val="005556B4"/>
    <w:rsid w:val="00565DBE"/>
    <w:rsid w:val="005666FD"/>
    <w:rsid w:val="005674FD"/>
    <w:rsid w:val="005767DB"/>
    <w:rsid w:val="00577020"/>
    <w:rsid w:val="00577F62"/>
    <w:rsid w:val="00580218"/>
    <w:rsid w:val="00580511"/>
    <w:rsid w:val="005838DF"/>
    <w:rsid w:val="005867FF"/>
    <w:rsid w:val="0058737E"/>
    <w:rsid w:val="005873F8"/>
    <w:rsid w:val="00596BB4"/>
    <w:rsid w:val="005A2FF9"/>
    <w:rsid w:val="005A30E6"/>
    <w:rsid w:val="005A6561"/>
    <w:rsid w:val="005B0BFF"/>
    <w:rsid w:val="005B1A7D"/>
    <w:rsid w:val="005B2F9C"/>
    <w:rsid w:val="005C515A"/>
    <w:rsid w:val="005C6D83"/>
    <w:rsid w:val="005D0ABA"/>
    <w:rsid w:val="005D1582"/>
    <w:rsid w:val="005D5C6A"/>
    <w:rsid w:val="005D6BB3"/>
    <w:rsid w:val="005E39D7"/>
    <w:rsid w:val="005E4217"/>
    <w:rsid w:val="005E7ACB"/>
    <w:rsid w:val="005F2403"/>
    <w:rsid w:val="005F31D4"/>
    <w:rsid w:val="005F7659"/>
    <w:rsid w:val="00611112"/>
    <w:rsid w:val="00612DF1"/>
    <w:rsid w:val="006142F2"/>
    <w:rsid w:val="00615E82"/>
    <w:rsid w:val="00615FAA"/>
    <w:rsid w:val="00617561"/>
    <w:rsid w:val="00621AD1"/>
    <w:rsid w:val="00640E9C"/>
    <w:rsid w:val="00644B52"/>
    <w:rsid w:val="00645BBE"/>
    <w:rsid w:val="00646730"/>
    <w:rsid w:val="00655A71"/>
    <w:rsid w:val="00661D63"/>
    <w:rsid w:val="00673A41"/>
    <w:rsid w:val="00673BD7"/>
    <w:rsid w:val="00675009"/>
    <w:rsid w:val="00675B67"/>
    <w:rsid w:val="0068228C"/>
    <w:rsid w:val="006857F8"/>
    <w:rsid w:val="006A2755"/>
    <w:rsid w:val="006A32CF"/>
    <w:rsid w:val="006A5C85"/>
    <w:rsid w:val="006B06EB"/>
    <w:rsid w:val="006B1190"/>
    <w:rsid w:val="006B14EA"/>
    <w:rsid w:val="006C234B"/>
    <w:rsid w:val="006C542B"/>
    <w:rsid w:val="006C713E"/>
    <w:rsid w:val="006C72BA"/>
    <w:rsid w:val="006D220E"/>
    <w:rsid w:val="006D2671"/>
    <w:rsid w:val="006E0137"/>
    <w:rsid w:val="006E1E16"/>
    <w:rsid w:val="006E23B0"/>
    <w:rsid w:val="006F4C45"/>
    <w:rsid w:val="00701317"/>
    <w:rsid w:val="00701D13"/>
    <w:rsid w:val="00701F30"/>
    <w:rsid w:val="00702395"/>
    <w:rsid w:val="007059AC"/>
    <w:rsid w:val="00707B8A"/>
    <w:rsid w:val="0071276E"/>
    <w:rsid w:val="00713852"/>
    <w:rsid w:val="007141BA"/>
    <w:rsid w:val="00725844"/>
    <w:rsid w:val="00733759"/>
    <w:rsid w:val="00735A58"/>
    <w:rsid w:val="00736A7C"/>
    <w:rsid w:val="007404C9"/>
    <w:rsid w:val="00745BDE"/>
    <w:rsid w:val="007476E9"/>
    <w:rsid w:val="00747814"/>
    <w:rsid w:val="00750ACE"/>
    <w:rsid w:val="00752DF5"/>
    <w:rsid w:val="00757F0D"/>
    <w:rsid w:val="007601E3"/>
    <w:rsid w:val="007604F3"/>
    <w:rsid w:val="007608A9"/>
    <w:rsid w:val="007613B9"/>
    <w:rsid w:val="0076192C"/>
    <w:rsid w:val="00763849"/>
    <w:rsid w:val="0077324F"/>
    <w:rsid w:val="0077550D"/>
    <w:rsid w:val="00775678"/>
    <w:rsid w:val="007813E2"/>
    <w:rsid w:val="00782913"/>
    <w:rsid w:val="00783447"/>
    <w:rsid w:val="00783D8D"/>
    <w:rsid w:val="0078400B"/>
    <w:rsid w:val="0078564D"/>
    <w:rsid w:val="00785AE1"/>
    <w:rsid w:val="00785BDC"/>
    <w:rsid w:val="007867E3"/>
    <w:rsid w:val="00786C1C"/>
    <w:rsid w:val="0078740D"/>
    <w:rsid w:val="00796B4D"/>
    <w:rsid w:val="007A67DC"/>
    <w:rsid w:val="007B7662"/>
    <w:rsid w:val="007D42B2"/>
    <w:rsid w:val="007D468E"/>
    <w:rsid w:val="007D7635"/>
    <w:rsid w:val="007D7AEC"/>
    <w:rsid w:val="007E3ECB"/>
    <w:rsid w:val="007E3FF8"/>
    <w:rsid w:val="007E4338"/>
    <w:rsid w:val="007F0E1D"/>
    <w:rsid w:val="007F305B"/>
    <w:rsid w:val="007F5859"/>
    <w:rsid w:val="007F63B5"/>
    <w:rsid w:val="007F72E8"/>
    <w:rsid w:val="007F76BB"/>
    <w:rsid w:val="008001E8"/>
    <w:rsid w:val="00801CBB"/>
    <w:rsid w:val="008027B8"/>
    <w:rsid w:val="00803FF9"/>
    <w:rsid w:val="00804CFF"/>
    <w:rsid w:val="008101AB"/>
    <w:rsid w:val="00810C59"/>
    <w:rsid w:val="008142B1"/>
    <w:rsid w:val="00814E52"/>
    <w:rsid w:val="00823380"/>
    <w:rsid w:val="00830936"/>
    <w:rsid w:val="008609E8"/>
    <w:rsid w:val="008765CC"/>
    <w:rsid w:val="00881EEF"/>
    <w:rsid w:val="00882E0C"/>
    <w:rsid w:val="008841D4"/>
    <w:rsid w:val="00886CF6"/>
    <w:rsid w:val="00895A10"/>
    <w:rsid w:val="008965DF"/>
    <w:rsid w:val="008A3536"/>
    <w:rsid w:val="008B0118"/>
    <w:rsid w:val="008B459E"/>
    <w:rsid w:val="008C190D"/>
    <w:rsid w:val="008C3C03"/>
    <w:rsid w:val="008C54B0"/>
    <w:rsid w:val="008D1398"/>
    <w:rsid w:val="008D3263"/>
    <w:rsid w:val="008D3CE5"/>
    <w:rsid w:val="008D4767"/>
    <w:rsid w:val="008D4BDD"/>
    <w:rsid w:val="008E5616"/>
    <w:rsid w:val="008E5F4C"/>
    <w:rsid w:val="008E767C"/>
    <w:rsid w:val="008F1F41"/>
    <w:rsid w:val="008F6BC1"/>
    <w:rsid w:val="00904294"/>
    <w:rsid w:val="00905DAA"/>
    <w:rsid w:val="00905F4D"/>
    <w:rsid w:val="00910BAF"/>
    <w:rsid w:val="00912576"/>
    <w:rsid w:val="00924186"/>
    <w:rsid w:val="00926FCA"/>
    <w:rsid w:val="00937232"/>
    <w:rsid w:val="00937DB4"/>
    <w:rsid w:val="00940B1D"/>
    <w:rsid w:val="00940D88"/>
    <w:rsid w:val="009458C7"/>
    <w:rsid w:val="00951587"/>
    <w:rsid w:val="009528D6"/>
    <w:rsid w:val="00955211"/>
    <w:rsid w:val="0095614E"/>
    <w:rsid w:val="00956474"/>
    <w:rsid w:val="0096086D"/>
    <w:rsid w:val="0096474D"/>
    <w:rsid w:val="00965B6D"/>
    <w:rsid w:val="00966BDC"/>
    <w:rsid w:val="009703B4"/>
    <w:rsid w:val="009772B3"/>
    <w:rsid w:val="00977593"/>
    <w:rsid w:val="00980C83"/>
    <w:rsid w:val="00981F13"/>
    <w:rsid w:val="00985214"/>
    <w:rsid w:val="0098590C"/>
    <w:rsid w:val="0098697F"/>
    <w:rsid w:val="00986B4E"/>
    <w:rsid w:val="009916F3"/>
    <w:rsid w:val="00995551"/>
    <w:rsid w:val="00995F0E"/>
    <w:rsid w:val="0099617F"/>
    <w:rsid w:val="009A12CA"/>
    <w:rsid w:val="009A1600"/>
    <w:rsid w:val="009A5C8D"/>
    <w:rsid w:val="009B001B"/>
    <w:rsid w:val="009B0BCA"/>
    <w:rsid w:val="009B535A"/>
    <w:rsid w:val="009C0422"/>
    <w:rsid w:val="009C7669"/>
    <w:rsid w:val="009D06C0"/>
    <w:rsid w:val="009E2C11"/>
    <w:rsid w:val="009E534F"/>
    <w:rsid w:val="00A03D11"/>
    <w:rsid w:val="00A103B1"/>
    <w:rsid w:val="00A11A6C"/>
    <w:rsid w:val="00A12B11"/>
    <w:rsid w:val="00A15C8F"/>
    <w:rsid w:val="00A17BD9"/>
    <w:rsid w:val="00A23674"/>
    <w:rsid w:val="00A23C05"/>
    <w:rsid w:val="00A44C3E"/>
    <w:rsid w:val="00A45A3A"/>
    <w:rsid w:val="00A4793F"/>
    <w:rsid w:val="00A54359"/>
    <w:rsid w:val="00A667A8"/>
    <w:rsid w:val="00A676CD"/>
    <w:rsid w:val="00A775B5"/>
    <w:rsid w:val="00A80AF0"/>
    <w:rsid w:val="00A8312B"/>
    <w:rsid w:val="00A901F6"/>
    <w:rsid w:val="00A95B29"/>
    <w:rsid w:val="00A965AC"/>
    <w:rsid w:val="00A97125"/>
    <w:rsid w:val="00A97953"/>
    <w:rsid w:val="00AA2F14"/>
    <w:rsid w:val="00AA4F3D"/>
    <w:rsid w:val="00AB5D7D"/>
    <w:rsid w:val="00AB690D"/>
    <w:rsid w:val="00AC2E9F"/>
    <w:rsid w:val="00AC317A"/>
    <w:rsid w:val="00AD2D7D"/>
    <w:rsid w:val="00AD4BD3"/>
    <w:rsid w:val="00AD507E"/>
    <w:rsid w:val="00AD52A5"/>
    <w:rsid w:val="00AE1FEB"/>
    <w:rsid w:val="00AE2A8E"/>
    <w:rsid w:val="00AE4982"/>
    <w:rsid w:val="00AF16C1"/>
    <w:rsid w:val="00AF1D60"/>
    <w:rsid w:val="00AF3F58"/>
    <w:rsid w:val="00AF45E0"/>
    <w:rsid w:val="00B024B0"/>
    <w:rsid w:val="00B02BB6"/>
    <w:rsid w:val="00B03450"/>
    <w:rsid w:val="00B03CF7"/>
    <w:rsid w:val="00B04535"/>
    <w:rsid w:val="00B0470D"/>
    <w:rsid w:val="00B0593D"/>
    <w:rsid w:val="00B10F4D"/>
    <w:rsid w:val="00B12E14"/>
    <w:rsid w:val="00B13EB3"/>
    <w:rsid w:val="00B240CA"/>
    <w:rsid w:val="00B27C58"/>
    <w:rsid w:val="00B31047"/>
    <w:rsid w:val="00B32C00"/>
    <w:rsid w:val="00B36121"/>
    <w:rsid w:val="00B37D9C"/>
    <w:rsid w:val="00B425AA"/>
    <w:rsid w:val="00B43846"/>
    <w:rsid w:val="00B43852"/>
    <w:rsid w:val="00B5565C"/>
    <w:rsid w:val="00B5769C"/>
    <w:rsid w:val="00B67AC8"/>
    <w:rsid w:val="00B7152B"/>
    <w:rsid w:val="00B728A4"/>
    <w:rsid w:val="00B741C0"/>
    <w:rsid w:val="00B84CE6"/>
    <w:rsid w:val="00B84F26"/>
    <w:rsid w:val="00B85A83"/>
    <w:rsid w:val="00B87B01"/>
    <w:rsid w:val="00BA1819"/>
    <w:rsid w:val="00BA222D"/>
    <w:rsid w:val="00BA2FEE"/>
    <w:rsid w:val="00BB1C42"/>
    <w:rsid w:val="00BB33D4"/>
    <w:rsid w:val="00BB39F7"/>
    <w:rsid w:val="00BB5FD9"/>
    <w:rsid w:val="00BB6A5C"/>
    <w:rsid w:val="00BC6079"/>
    <w:rsid w:val="00BD0423"/>
    <w:rsid w:val="00BE0886"/>
    <w:rsid w:val="00BE0B25"/>
    <w:rsid w:val="00BE3639"/>
    <w:rsid w:val="00BE742E"/>
    <w:rsid w:val="00BF27CA"/>
    <w:rsid w:val="00BF7DD1"/>
    <w:rsid w:val="00C0094E"/>
    <w:rsid w:val="00C060D0"/>
    <w:rsid w:val="00C162E8"/>
    <w:rsid w:val="00C20325"/>
    <w:rsid w:val="00C2656C"/>
    <w:rsid w:val="00C26E3E"/>
    <w:rsid w:val="00C33E5D"/>
    <w:rsid w:val="00C37D6B"/>
    <w:rsid w:val="00C41B0A"/>
    <w:rsid w:val="00C45E03"/>
    <w:rsid w:val="00C517A9"/>
    <w:rsid w:val="00C56225"/>
    <w:rsid w:val="00C61F3A"/>
    <w:rsid w:val="00C63662"/>
    <w:rsid w:val="00C6421E"/>
    <w:rsid w:val="00C7178F"/>
    <w:rsid w:val="00C74BC4"/>
    <w:rsid w:val="00C81151"/>
    <w:rsid w:val="00C81C98"/>
    <w:rsid w:val="00C82882"/>
    <w:rsid w:val="00C904E2"/>
    <w:rsid w:val="00C94CAD"/>
    <w:rsid w:val="00CA1AD8"/>
    <w:rsid w:val="00CA7506"/>
    <w:rsid w:val="00CB0274"/>
    <w:rsid w:val="00CB5C1C"/>
    <w:rsid w:val="00CC401A"/>
    <w:rsid w:val="00CC47C2"/>
    <w:rsid w:val="00CC71EF"/>
    <w:rsid w:val="00CD3B1C"/>
    <w:rsid w:val="00CD7C4B"/>
    <w:rsid w:val="00CE1B33"/>
    <w:rsid w:val="00CE2E44"/>
    <w:rsid w:val="00CE4866"/>
    <w:rsid w:val="00CF201A"/>
    <w:rsid w:val="00CF2B2B"/>
    <w:rsid w:val="00CF2C18"/>
    <w:rsid w:val="00CF55E3"/>
    <w:rsid w:val="00CF7268"/>
    <w:rsid w:val="00CF7EBE"/>
    <w:rsid w:val="00D0402A"/>
    <w:rsid w:val="00D05256"/>
    <w:rsid w:val="00D12570"/>
    <w:rsid w:val="00D15A1C"/>
    <w:rsid w:val="00D169C4"/>
    <w:rsid w:val="00D20284"/>
    <w:rsid w:val="00D246EB"/>
    <w:rsid w:val="00D25B7F"/>
    <w:rsid w:val="00D27880"/>
    <w:rsid w:val="00D30A86"/>
    <w:rsid w:val="00D43C74"/>
    <w:rsid w:val="00D452D5"/>
    <w:rsid w:val="00D46D7E"/>
    <w:rsid w:val="00D5446F"/>
    <w:rsid w:val="00D57883"/>
    <w:rsid w:val="00D57D5F"/>
    <w:rsid w:val="00D61E60"/>
    <w:rsid w:val="00D63DB0"/>
    <w:rsid w:val="00D73EBE"/>
    <w:rsid w:val="00D76927"/>
    <w:rsid w:val="00D814E9"/>
    <w:rsid w:val="00D81DC6"/>
    <w:rsid w:val="00D82D87"/>
    <w:rsid w:val="00D93452"/>
    <w:rsid w:val="00DA6D7E"/>
    <w:rsid w:val="00DA7A0D"/>
    <w:rsid w:val="00DB2004"/>
    <w:rsid w:val="00DC1233"/>
    <w:rsid w:val="00DC6C02"/>
    <w:rsid w:val="00DC6F41"/>
    <w:rsid w:val="00DD2C0A"/>
    <w:rsid w:val="00DD3CAE"/>
    <w:rsid w:val="00DD4582"/>
    <w:rsid w:val="00DD6C57"/>
    <w:rsid w:val="00DD792E"/>
    <w:rsid w:val="00DE16D3"/>
    <w:rsid w:val="00DE2FB3"/>
    <w:rsid w:val="00DE477E"/>
    <w:rsid w:val="00DE5AD9"/>
    <w:rsid w:val="00DF5DBA"/>
    <w:rsid w:val="00DF7399"/>
    <w:rsid w:val="00E0048A"/>
    <w:rsid w:val="00E015C7"/>
    <w:rsid w:val="00E0184F"/>
    <w:rsid w:val="00E0552E"/>
    <w:rsid w:val="00E056B6"/>
    <w:rsid w:val="00E057AC"/>
    <w:rsid w:val="00E10A7D"/>
    <w:rsid w:val="00E13244"/>
    <w:rsid w:val="00E24140"/>
    <w:rsid w:val="00E308B7"/>
    <w:rsid w:val="00E30C85"/>
    <w:rsid w:val="00E30CC5"/>
    <w:rsid w:val="00E3325E"/>
    <w:rsid w:val="00E33DEF"/>
    <w:rsid w:val="00E35728"/>
    <w:rsid w:val="00E36094"/>
    <w:rsid w:val="00E608A1"/>
    <w:rsid w:val="00E63352"/>
    <w:rsid w:val="00E634B3"/>
    <w:rsid w:val="00E72CE7"/>
    <w:rsid w:val="00E73E2C"/>
    <w:rsid w:val="00E760F3"/>
    <w:rsid w:val="00E77424"/>
    <w:rsid w:val="00E9080C"/>
    <w:rsid w:val="00E92B5E"/>
    <w:rsid w:val="00EA0E50"/>
    <w:rsid w:val="00EA37B3"/>
    <w:rsid w:val="00EA5251"/>
    <w:rsid w:val="00EB7E05"/>
    <w:rsid w:val="00EC18C0"/>
    <w:rsid w:val="00EC467F"/>
    <w:rsid w:val="00EC4951"/>
    <w:rsid w:val="00EC59D5"/>
    <w:rsid w:val="00ED0B85"/>
    <w:rsid w:val="00ED27C4"/>
    <w:rsid w:val="00ED2F53"/>
    <w:rsid w:val="00ED6C8D"/>
    <w:rsid w:val="00EE2BD7"/>
    <w:rsid w:val="00F03F7C"/>
    <w:rsid w:val="00F0518F"/>
    <w:rsid w:val="00F070FD"/>
    <w:rsid w:val="00F218CE"/>
    <w:rsid w:val="00F22A0D"/>
    <w:rsid w:val="00F23944"/>
    <w:rsid w:val="00F24359"/>
    <w:rsid w:val="00F36115"/>
    <w:rsid w:val="00F423B9"/>
    <w:rsid w:val="00F434CE"/>
    <w:rsid w:val="00F53198"/>
    <w:rsid w:val="00F54FE6"/>
    <w:rsid w:val="00F65AEC"/>
    <w:rsid w:val="00F66764"/>
    <w:rsid w:val="00F67A49"/>
    <w:rsid w:val="00F718FA"/>
    <w:rsid w:val="00F74EC8"/>
    <w:rsid w:val="00F85E9B"/>
    <w:rsid w:val="00F91384"/>
    <w:rsid w:val="00F94C9F"/>
    <w:rsid w:val="00FA13B5"/>
    <w:rsid w:val="00FA7787"/>
    <w:rsid w:val="00FB4829"/>
    <w:rsid w:val="00FC26E3"/>
    <w:rsid w:val="00FC4460"/>
    <w:rsid w:val="00FC4DE8"/>
    <w:rsid w:val="00FD1894"/>
    <w:rsid w:val="00FE1A38"/>
    <w:rsid w:val="00FE2B03"/>
    <w:rsid w:val="00FE601D"/>
    <w:rsid w:val="00FF03DF"/>
    <w:rsid w:val="00FF0ACE"/>
    <w:rsid w:val="00FF4CDD"/>
    <w:rsid w:val="00FF6ADD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A7015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77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s@komor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komora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EA1E-C763-4115-A0E6-65554415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Beneš Miroslav</cp:lastModifiedBy>
  <cp:revision>34</cp:revision>
  <cp:lastPrinted>2020-04-28T09:57:00Z</cp:lastPrinted>
  <dcterms:created xsi:type="dcterms:W3CDTF">2020-04-20T19:29:00Z</dcterms:created>
  <dcterms:modified xsi:type="dcterms:W3CDTF">2020-04-28T12:36:00Z</dcterms:modified>
</cp:coreProperties>
</file>