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0302" w:rsidRDefault="00367608" w:rsidP="00367608">
      <w:pPr>
        <w:spacing w:before="120" w:line="240" w:lineRule="auto"/>
        <w:jc w:val="center"/>
        <w:rPr>
          <w:b/>
        </w:rPr>
      </w:pPr>
      <w:r>
        <w:rPr>
          <w:b/>
        </w:rPr>
        <w:t xml:space="preserve">Výsledek hospodaření státního rozpočtu v roce 2019 je o 11,5 mld. lepší než očekávání </w:t>
      </w:r>
    </w:p>
    <w:p w:rsidR="00367608" w:rsidRPr="00310EA7" w:rsidRDefault="00367608" w:rsidP="00367608">
      <w:pPr>
        <w:spacing w:before="120" w:line="240" w:lineRule="auto"/>
        <w:jc w:val="center"/>
        <w:rPr>
          <w:b/>
          <w:u w:val="single"/>
        </w:rPr>
      </w:pPr>
    </w:p>
    <w:p w:rsidR="00BF0641" w:rsidRDefault="00BF0641" w:rsidP="00367608">
      <w:pPr>
        <w:spacing w:before="120" w:line="240" w:lineRule="auto"/>
        <w:ind w:firstLine="708"/>
      </w:pPr>
      <w:r w:rsidRPr="00E6111A">
        <w:t>V roce 201</w:t>
      </w:r>
      <w:r>
        <w:t>9</w:t>
      </w:r>
      <w:r w:rsidRPr="00E6111A">
        <w:t xml:space="preserve"> dosáhly </w:t>
      </w:r>
      <w:r w:rsidRPr="00E6111A">
        <w:rPr>
          <w:b/>
        </w:rPr>
        <w:t>celkové příjmy</w:t>
      </w:r>
      <w:r w:rsidRPr="00E6111A">
        <w:t xml:space="preserve"> státního rozpočtu</w:t>
      </w:r>
      <w:r w:rsidRPr="00E6111A">
        <w:rPr>
          <w:b/>
        </w:rPr>
        <w:t xml:space="preserve"> </w:t>
      </w:r>
      <w:r w:rsidR="00551256">
        <w:rPr>
          <w:b/>
        </w:rPr>
        <w:t>1 523,2</w:t>
      </w:r>
      <w:r>
        <w:rPr>
          <w:b/>
        </w:rPr>
        <w:t xml:space="preserve"> </w:t>
      </w:r>
      <w:r w:rsidRPr="00E6111A">
        <w:rPr>
          <w:b/>
        </w:rPr>
        <w:t>mld. Kč</w:t>
      </w:r>
      <w:r>
        <w:rPr>
          <w:b/>
        </w:rPr>
        <w:t>,</w:t>
      </w:r>
      <w:r w:rsidRPr="00E6111A">
        <w:t xml:space="preserve"> </w:t>
      </w:r>
      <w:r w:rsidRPr="00E6111A">
        <w:rPr>
          <w:b/>
        </w:rPr>
        <w:t xml:space="preserve">celkové výdaje </w:t>
      </w:r>
      <w:r w:rsidR="00551256">
        <w:rPr>
          <w:b/>
        </w:rPr>
        <w:t>1 551,7</w:t>
      </w:r>
      <w:r w:rsidRPr="00E6111A">
        <w:rPr>
          <w:b/>
        </w:rPr>
        <w:t> mld. Kč</w:t>
      </w:r>
      <w:r>
        <w:rPr>
          <w:b/>
        </w:rPr>
        <w:t xml:space="preserve"> a</w:t>
      </w:r>
      <w:r w:rsidRPr="00E6111A">
        <w:rPr>
          <w:b/>
        </w:rPr>
        <w:t xml:space="preserve"> </w:t>
      </w:r>
      <w:r>
        <w:rPr>
          <w:b/>
        </w:rPr>
        <w:t>schodek</w:t>
      </w:r>
      <w:r w:rsidRPr="00E6111A">
        <w:rPr>
          <w:b/>
        </w:rPr>
        <w:t xml:space="preserve"> hospodaření státního rozpočtu</w:t>
      </w:r>
      <w:r>
        <w:rPr>
          <w:b/>
        </w:rPr>
        <w:t xml:space="preserve"> tak</w:t>
      </w:r>
      <w:r w:rsidRPr="00E6111A">
        <w:rPr>
          <w:b/>
        </w:rPr>
        <w:t xml:space="preserve"> dosáhl </w:t>
      </w:r>
      <w:r w:rsidR="00551256">
        <w:rPr>
          <w:b/>
        </w:rPr>
        <w:t>28,5</w:t>
      </w:r>
      <w:r>
        <w:rPr>
          <w:b/>
        </w:rPr>
        <w:t xml:space="preserve"> </w:t>
      </w:r>
      <w:r w:rsidRPr="00E6111A">
        <w:rPr>
          <w:b/>
        </w:rPr>
        <w:t>mld. Kč</w:t>
      </w:r>
      <w:r>
        <w:rPr>
          <w:b/>
        </w:rPr>
        <w:t xml:space="preserve">. </w:t>
      </w:r>
      <w:r>
        <w:t xml:space="preserve">Tento výsledek představuje úsporu </w:t>
      </w:r>
      <w:r w:rsidR="00551256">
        <w:t>11,5</w:t>
      </w:r>
      <w:r>
        <w:t xml:space="preserve"> mld. Kč proti zákonem schválenému deficitu ve výši 40 mld. Kč</w:t>
      </w:r>
      <w:r w:rsidR="00367608">
        <w:t xml:space="preserve"> a znamená jeden z nejlepších výsledků v novodobé historii České republiky</w:t>
      </w:r>
      <w:r>
        <w:t>.</w:t>
      </w:r>
      <w:r w:rsidR="00367608">
        <w:t xml:space="preserve"> </w:t>
      </w:r>
    </w:p>
    <w:p w:rsidR="00BF0641" w:rsidRDefault="008B2257" w:rsidP="00BF0641">
      <w:pPr>
        <w:spacing w:before="120" w:line="240" w:lineRule="auto"/>
      </w:pPr>
      <w:r w:rsidRPr="008B2257">
        <w:rPr>
          <w:noProof/>
        </w:rPr>
        <w:drawing>
          <wp:inline distT="0" distB="0" distL="0" distR="0" wp14:anchorId="664F682E" wp14:editId="0F5CA4D3">
            <wp:extent cx="6301105" cy="2097261"/>
            <wp:effectExtent l="0" t="0" r="4445" b="0"/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1105" cy="20972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0641" w:rsidRPr="006F3605" w:rsidRDefault="00BF0641" w:rsidP="00171A25">
      <w:pPr>
        <w:pStyle w:val="pramen"/>
        <w:spacing w:line="240" w:lineRule="auto"/>
        <w:rPr>
          <w:sz w:val="20"/>
        </w:rPr>
      </w:pPr>
      <w:r w:rsidRPr="006F3605">
        <w:rPr>
          <w:sz w:val="20"/>
        </w:rPr>
        <w:t>*) Saldo očištěné o prostředky na programy/projekty z rozpočtu EU a FM, které byly předfinancovány ze SR a následně jsou propláceny z rozpočtu EU a FM</w:t>
      </w:r>
    </w:p>
    <w:p w:rsidR="00BF0641" w:rsidRDefault="00E902BD" w:rsidP="00367608">
      <w:pPr>
        <w:spacing w:before="120" w:line="240" w:lineRule="auto"/>
        <w:ind w:firstLine="708"/>
      </w:pPr>
      <w:r>
        <w:t>V průběhu roku 2019</w:t>
      </w:r>
      <w:r w:rsidR="008C7C58">
        <w:t xml:space="preserve"> </w:t>
      </w:r>
      <w:r w:rsidR="004817B9">
        <w:t>byly úspěšně naplněny</w:t>
      </w:r>
      <w:r w:rsidR="008C7C58">
        <w:t xml:space="preserve"> </w:t>
      </w:r>
      <w:r>
        <w:t xml:space="preserve">hlavní </w:t>
      </w:r>
      <w:r w:rsidR="008C7C58">
        <w:t xml:space="preserve">vládní priority, které vedly k meziročnímu růstu výdajů na důchody o </w:t>
      </w:r>
      <w:r>
        <w:t>38</w:t>
      </w:r>
      <w:r w:rsidR="008C7C58">
        <w:t xml:space="preserve"> mld. Kč, výdajů na platy ve veřejném sektoru o více než 30 mld. Kč, investičních výdajů o </w:t>
      </w:r>
      <w:r>
        <w:t>23</w:t>
      </w:r>
      <w:r w:rsidR="008C7C58">
        <w:t xml:space="preserve"> mld. Kč </w:t>
      </w:r>
      <w:r w:rsidR="004817B9">
        <w:t>a výdajů na výzkum, vývoj a inovace o 3 mld. Kč</w:t>
      </w:r>
      <w:r w:rsidR="00B31802">
        <w:t>. I přes</w:t>
      </w:r>
      <w:r>
        <w:t>to se státu podařilo</w:t>
      </w:r>
      <w:r w:rsidR="004817B9">
        <w:t xml:space="preserve"> </w:t>
      </w:r>
      <w:r w:rsidR="00551256">
        <w:t>hospodařit s nižším než plánovaným deficitem</w:t>
      </w:r>
      <w:r w:rsidR="004817B9">
        <w:t xml:space="preserve">. </w:t>
      </w:r>
      <w:r w:rsidR="00551256">
        <w:t>Tento výsledek</w:t>
      </w:r>
      <w:r w:rsidR="004817B9">
        <w:t xml:space="preserve"> vyplynul z vyššího plnění příjmů nad čerpáním výdajů o </w:t>
      </w:r>
      <w:r w:rsidR="00551256">
        <w:t>0,8</w:t>
      </w:r>
      <w:r w:rsidR="004817B9">
        <w:t xml:space="preserve"> p. b.</w:t>
      </w:r>
    </w:p>
    <w:p w:rsidR="00BF0641" w:rsidRDefault="001448E5" w:rsidP="00367608">
      <w:pPr>
        <w:spacing w:before="120" w:line="240" w:lineRule="auto"/>
        <w:ind w:firstLine="708"/>
      </w:pPr>
      <w:r>
        <w:t xml:space="preserve">Pozitivem je i to, že </w:t>
      </w:r>
      <w:r w:rsidR="002B7D58">
        <w:t xml:space="preserve">se </w:t>
      </w:r>
      <w:r>
        <w:t xml:space="preserve">úspěšně </w:t>
      </w:r>
      <w:r w:rsidR="003B4909">
        <w:t>dařilo realizovat společné programy E</w:t>
      </w:r>
      <w:r w:rsidR="00CF47F4">
        <w:t>vropské unie (E</w:t>
      </w:r>
      <w:r w:rsidR="003B4909">
        <w:t>U</w:t>
      </w:r>
      <w:r w:rsidR="00CF47F4">
        <w:t>)</w:t>
      </w:r>
      <w:r w:rsidR="003B4909">
        <w:t xml:space="preserve"> a ČR, </w:t>
      </w:r>
      <w:r w:rsidR="00F34012">
        <w:t>jejichž objem</w:t>
      </w:r>
      <w:r w:rsidR="003B4909">
        <w:t xml:space="preserve"> </w:t>
      </w:r>
      <w:r w:rsidR="00895FF4">
        <w:t>meziročně vzrostl o více než 1</w:t>
      </w:r>
      <w:r w:rsidR="00D4556E">
        <w:t>2</w:t>
      </w:r>
      <w:r w:rsidR="00895FF4">
        <w:t xml:space="preserve"> %, což</w:t>
      </w:r>
      <w:r w:rsidR="00375DED">
        <w:t xml:space="preserve"> </w:t>
      </w:r>
      <w:r w:rsidR="00F34012">
        <w:t>ukazuje</w:t>
      </w:r>
      <w:r w:rsidR="00375DED">
        <w:t xml:space="preserve"> </w:t>
      </w:r>
      <w:r w:rsidR="00895FF4">
        <w:t>rostoucí s</w:t>
      </w:r>
      <w:r w:rsidR="00375DED">
        <w:t xml:space="preserve">chopnost státu zprostředkovávat dotace </w:t>
      </w:r>
      <w:r w:rsidR="00895FF4">
        <w:t>spolufinancované</w:t>
      </w:r>
      <w:r w:rsidR="00375DED">
        <w:t xml:space="preserve"> E</w:t>
      </w:r>
      <w:r w:rsidR="00CF47F4">
        <w:t>U</w:t>
      </w:r>
      <w:r w:rsidR="00F34012">
        <w:t xml:space="preserve"> v rámci programového období 2014-2020</w:t>
      </w:r>
      <w:r w:rsidR="00BF0641">
        <w:t xml:space="preserve">. </w:t>
      </w:r>
      <w:r w:rsidR="00375DED">
        <w:t>E</w:t>
      </w:r>
      <w:r w:rsidR="00BF0641" w:rsidRPr="005F06D3">
        <w:t xml:space="preserve">fektivní řízení </w:t>
      </w:r>
      <w:r w:rsidR="00BF0641">
        <w:t>finančních toků souvisejících s </w:t>
      </w:r>
      <w:r>
        <w:t>obsluhou státního dluhu vedlo k </w:t>
      </w:r>
      <w:r w:rsidR="00BF0641" w:rsidRPr="005F06D3">
        <w:t xml:space="preserve">úspoře oproti původně plánovaným výdajům ve výši </w:t>
      </w:r>
      <w:r w:rsidR="00375DED">
        <w:t>6,9</w:t>
      </w:r>
      <w:r w:rsidR="00BF0641" w:rsidRPr="005F06D3">
        <w:t xml:space="preserve"> mld. Kč.</w:t>
      </w:r>
      <w:r w:rsidR="0060584B">
        <w:t xml:space="preserve"> Na provozních výdajích stát uspořil proti původnímu plánu 2 mld. Kč.</w:t>
      </w:r>
      <w:r w:rsidR="00BF0641">
        <w:t xml:space="preserve"> </w:t>
      </w:r>
    </w:p>
    <w:p w:rsidR="00BF0641" w:rsidRPr="009870D1" w:rsidRDefault="00B31802" w:rsidP="00B31802">
      <w:pPr>
        <w:spacing w:before="120" w:line="240" w:lineRule="auto"/>
        <w:ind w:firstLine="708"/>
      </w:pPr>
      <w:r>
        <w:t xml:space="preserve">Konečné inkaso některých daní bylo negativně ovlivněno </w:t>
      </w:r>
      <w:r w:rsidR="00E14C54">
        <w:t>odložení</w:t>
      </w:r>
      <w:r>
        <w:t>m</w:t>
      </w:r>
      <w:r w:rsidR="00E14C54">
        <w:t xml:space="preserve"> některých plánovaných legislativních změn a nenaplnění</w:t>
      </w:r>
      <w:r>
        <w:t>m</w:t>
      </w:r>
      <w:r w:rsidR="00E14C54">
        <w:t xml:space="preserve"> některých</w:t>
      </w:r>
      <w:r>
        <w:t xml:space="preserve"> makroekonomických očekávání. </w:t>
      </w:r>
      <w:r w:rsidR="001D7BC7">
        <w:t>Přesto d</w:t>
      </w:r>
      <w:r w:rsidR="00E14C54">
        <w:t xml:space="preserve">aňové příjmy včetně pojistného </w:t>
      </w:r>
      <w:r w:rsidR="00605939">
        <w:t xml:space="preserve">na sociální zabezpečení </w:t>
      </w:r>
      <w:r w:rsidR="001D7BC7">
        <w:t xml:space="preserve">přispěly </w:t>
      </w:r>
      <w:r w:rsidR="00E14C54">
        <w:t>k mezir</w:t>
      </w:r>
      <w:r w:rsidR="001D7BC7">
        <w:t xml:space="preserve">očnímu růstu celkových příjmů </w:t>
      </w:r>
      <w:r w:rsidR="00605939">
        <w:t>téměř 74 mld. Kč, což odpovídá 6% růstu</w:t>
      </w:r>
      <w:r w:rsidR="001D7BC7">
        <w:t>.</w:t>
      </w:r>
    </w:p>
    <w:p w:rsidR="00BF0641" w:rsidRDefault="00BF0641" w:rsidP="00367608">
      <w:pPr>
        <w:spacing w:before="120" w:line="240" w:lineRule="auto"/>
        <w:ind w:firstLine="708"/>
      </w:pPr>
      <w:r>
        <w:t>Vliv prostředků z</w:t>
      </w:r>
      <w:r w:rsidR="00CF47F4">
        <w:t xml:space="preserve"> EU </w:t>
      </w:r>
      <w:r>
        <w:t xml:space="preserve">a finančních mechanismů (FM) na hospodaření státního rozpočtu nebyl v roce 2019 výrazný. </w:t>
      </w:r>
      <w:r w:rsidR="00CF47F4">
        <w:t>Jejich p</w:t>
      </w:r>
      <w:r>
        <w:t xml:space="preserve">odíl </w:t>
      </w:r>
      <w:r w:rsidR="00CF47F4">
        <w:t>n</w:t>
      </w:r>
      <w:r>
        <w:t>a zrealizovaných společných programech převýšil příjmy proplacené z EU a FM</w:t>
      </w:r>
      <w:r w:rsidRPr="00BC2777">
        <w:t xml:space="preserve"> </w:t>
      </w:r>
      <w:r>
        <w:t xml:space="preserve">jen mírně, o </w:t>
      </w:r>
      <w:r w:rsidR="00CF47F4">
        <w:t>0,8</w:t>
      </w:r>
      <w:r>
        <w:t xml:space="preserve"> mld. Kč, což </w:t>
      </w:r>
      <w:r w:rsidR="00C1541E">
        <w:t>dokládá</w:t>
      </w:r>
      <w:r>
        <w:t xml:space="preserve"> schopnost státu získat tyto předfinancované prostředky zpět do svého rozpočtu. Po očištění prostředků EU a FM jak z příjmové i výdajové strany rozpočtu (ve</w:t>
      </w:r>
      <w:r w:rsidR="001448E5">
        <w:t> </w:t>
      </w:r>
      <w:r>
        <w:t xml:space="preserve">schváleném rozpočtu jsou zakomponovány vždy s neutrálním dopadem) skončilo hospodaření státního rozpočtu schodkem ve výši </w:t>
      </w:r>
      <w:r w:rsidR="00C1541E">
        <w:t>27,7</w:t>
      </w:r>
      <w:r>
        <w:t xml:space="preserve"> mld. Kč</w:t>
      </w:r>
      <w:r w:rsidR="00B9463A">
        <w:t>, tj. o více než 30 % lepším než plánovaným</w:t>
      </w:r>
      <w:r w:rsidR="00C1541E">
        <w:t>.</w:t>
      </w:r>
    </w:p>
    <w:p w:rsidR="00CD3A91" w:rsidRPr="00310EA7" w:rsidRDefault="008B2257" w:rsidP="00BF7806">
      <w:pPr>
        <w:spacing w:before="120" w:line="240" w:lineRule="auto"/>
        <w:rPr>
          <w:highlight w:val="yellow"/>
        </w:rPr>
      </w:pPr>
      <w:r>
        <w:rPr>
          <w:noProof/>
        </w:rPr>
        <w:lastRenderedPageBreak/>
        <w:drawing>
          <wp:inline distT="0" distB="0" distL="0" distR="0" wp14:anchorId="00EA7647" wp14:editId="541E8089">
            <wp:extent cx="5972810" cy="2345055"/>
            <wp:effectExtent l="0" t="0" r="8890" b="0"/>
            <wp:docPr id="9" name="Graf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FA58AC" w:rsidRPr="00BF0641" w:rsidRDefault="00505889" w:rsidP="00E73451">
      <w:pPr>
        <w:pStyle w:val="Zkladntext21"/>
        <w:keepNext/>
        <w:spacing w:line="240" w:lineRule="auto"/>
        <w:ind w:firstLine="0"/>
        <w:rPr>
          <w:b/>
          <w:bCs/>
        </w:rPr>
      </w:pPr>
      <w:r w:rsidRPr="00BF0641">
        <w:rPr>
          <w:b/>
          <w:bCs/>
        </w:rPr>
        <w:t>Příjmy státního rozpočtu</w:t>
      </w:r>
      <w:r w:rsidR="00605939">
        <w:rPr>
          <w:b/>
          <w:bCs/>
        </w:rPr>
        <w:t xml:space="preserve"> – podrobný komentář</w:t>
      </w:r>
    </w:p>
    <w:p w:rsidR="002E19CF" w:rsidRPr="00BD3622" w:rsidRDefault="002E19CF" w:rsidP="00367608">
      <w:pPr>
        <w:pStyle w:val="Zkladntext210"/>
        <w:spacing w:line="240" w:lineRule="auto"/>
        <w:ind w:firstLine="708"/>
      </w:pPr>
      <w:r w:rsidRPr="00BD3622">
        <w:t xml:space="preserve">Celkové příjmy státního rozpočtu meziročně vzrostly </w:t>
      </w:r>
      <w:r w:rsidR="00C825BD">
        <w:t xml:space="preserve">výrazně </w:t>
      </w:r>
      <w:r w:rsidRPr="00BD3622">
        <w:t xml:space="preserve">o </w:t>
      </w:r>
      <w:r w:rsidR="00C825BD">
        <w:t>119,3</w:t>
      </w:r>
      <w:r w:rsidRPr="00BD3622">
        <w:t xml:space="preserve"> mld. Kč, tj. o </w:t>
      </w:r>
      <w:r w:rsidR="00C825BD">
        <w:t>8,5</w:t>
      </w:r>
      <w:r w:rsidRPr="00BD3622">
        <w:t xml:space="preserve"> %. Napomohly tomu všechny hlavní složky příjmů – daňové příjmy s růstem o </w:t>
      </w:r>
      <w:r w:rsidR="00C825BD">
        <w:t>35,6</w:t>
      </w:r>
      <w:r w:rsidRPr="00BD3622">
        <w:t xml:space="preserve"> mld. Kč, tj</w:t>
      </w:r>
      <w:r>
        <w:t>.</w:t>
      </w:r>
      <w:r w:rsidRPr="00BD3622">
        <w:t xml:space="preserve"> o </w:t>
      </w:r>
      <w:r w:rsidR="00C825BD">
        <w:t>4,9 %, pojistné na </w:t>
      </w:r>
      <w:r w:rsidRPr="00BD3622">
        <w:t xml:space="preserve">sociální zabezpečení s růstem o </w:t>
      </w:r>
      <w:r w:rsidR="00C825BD">
        <w:t>38,4</w:t>
      </w:r>
      <w:r w:rsidRPr="00BD3622">
        <w:t xml:space="preserve"> mld. Kč, tj. o </w:t>
      </w:r>
      <w:r w:rsidR="00C825BD">
        <w:t>7,5</w:t>
      </w:r>
      <w:r w:rsidRPr="00BD3622">
        <w:t xml:space="preserve"> %</w:t>
      </w:r>
      <w:r>
        <w:t xml:space="preserve">, a nedaňové a </w:t>
      </w:r>
      <w:r w:rsidRPr="00BD3622">
        <w:t xml:space="preserve">ostatní příjmy </w:t>
      </w:r>
      <w:r w:rsidR="00C825BD">
        <w:t>s růstem o 45,3 </w:t>
      </w:r>
      <w:r>
        <w:t xml:space="preserve">mld. Kč, tj. o </w:t>
      </w:r>
      <w:r w:rsidR="00C825BD">
        <w:t>27,7</w:t>
      </w:r>
      <w:r>
        <w:t xml:space="preserve"> %. </w:t>
      </w:r>
    </w:p>
    <w:p w:rsidR="002E19CF" w:rsidRPr="00DD7E13" w:rsidRDefault="002E19CF" w:rsidP="00FA49F4">
      <w:pPr>
        <w:spacing w:before="120" w:line="240" w:lineRule="auto"/>
        <w:ind w:firstLine="708"/>
        <w:rPr>
          <w:szCs w:val="24"/>
        </w:rPr>
      </w:pPr>
      <w:r>
        <w:rPr>
          <w:b/>
          <w:bCs/>
          <w:szCs w:val="24"/>
        </w:rPr>
        <w:t>I</w:t>
      </w:r>
      <w:r w:rsidRPr="00B30961">
        <w:rPr>
          <w:b/>
          <w:bCs/>
          <w:szCs w:val="24"/>
        </w:rPr>
        <w:t>nkaso DPH</w:t>
      </w:r>
      <w:r w:rsidRPr="00B30961">
        <w:rPr>
          <w:bCs/>
          <w:szCs w:val="24"/>
        </w:rPr>
        <w:t xml:space="preserve"> svým objemem</w:t>
      </w:r>
      <w:r w:rsidRPr="00B30961">
        <w:rPr>
          <w:b/>
          <w:bCs/>
          <w:szCs w:val="24"/>
        </w:rPr>
        <w:t xml:space="preserve"> </w:t>
      </w:r>
      <w:r w:rsidR="00AB01B6">
        <w:rPr>
          <w:b/>
          <w:bCs/>
          <w:szCs w:val="24"/>
        </w:rPr>
        <w:t>291,3</w:t>
      </w:r>
      <w:r w:rsidRPr="00B30961">
        <w:rPr>
          <w:b/>
          <w:bCs/>
          <w:szCs w:val="24"/>
        </w:rPr>
        <w:t xml:space="preserve"> mld. Kč</w:t>
      </w:r>
      <w:r w:rsidRPr="00B30961">
        <w:rPr>
          <w:szCs w:val="24"/>
        </w:rPr>
        <w:t xml:space="preserve"> </w:t>
      </w:r>
      <w:r w:rsidR="00FA49F4">
        <w:rPr>
          <w:szCs w:val="24"/>
        </w:rPr>
        <w:t xml:space="preserve">vykázalo meziroční růst o 4,4%. Inkaso nejvýznamnější daně bylo oproti jejímu rozpočtu negativně ovlivněno </w:t>
      </w:r>
      <w:r w:rsidRPr="00DD7E13">
        <w:rPr>
          <w:szCs w:val="24"/>
        </w:rPr>
        <w:t>zavedením nižší sazby DPH na pravidelnou hromadnou dopravu, které je účinné od února 2019, s odhadovaným negativním dopadem ve výši 0,6 mld. Kč. V</w:t>
      </w:r>
      <w:r>
        <w:rPr>
          <w:szCs w:val="24"/>
        </w:rPr>
        <w:t> </w:t>
      </w:r>
      <w:r w:rsidRPr="00DD7E13">
        <w:rPr>
          <w:szCs w:val="24"/>
        </w:rPr>
        <w:t>rozpočtu se naopak počítalo s pozitivním vlivem změny režimu DPH u provozovatelů rozhlasového a televizního vysílání, který byl v rámci legislativního procesu odložen až na rok 2022. V rozpočtu se dále počítalo se spuštěním 3. a 4. etapy elektronické evidence tržeb se souvisejícím pozitivním efektem na příjmy státního rozpočtu v odhadované výši 0,7 mld.</w:t>
      </w:r>
      <w:r>
        <w:rPr>
          <w:szCs w:val="24"/>
        </w:rPr>
        <w:t> </w:t>
      </w:r>
      <w:r w:rsidRPr="00DD7E13">
        <w:rPr>
          <w:szCs w:val="24"/>
        </w:rPr>
        <w:t>Kč a s negativním dopadem přesunu části některých služeb, jako např. úprava a rozvod vody, stravovacích služeb a dal</w:t>
      </w:r>
      <w:r w:rsidR="00AB01B6">
        <w:rPr>
          <w:szCs w:val="24"/>
        </w:rPr>
        <w:t>ších, do nižší 10% sazby DPH, v </w:t>
      </w:r>
      <w:r w:rsidRPr="00DD7E13">
        <w:rPr>
          <w:szCs w:val="24"/>
        </w:rPr>
        <w:t>odhadované výši 1 mld. Kč. U těchto opatření byl však ukončen legislativní proces až na podzim roku 2019 a opatření proto budou účinná až od května r</w:t>
      </w:r>
      <w:r w:rsidR="00AB01B6">
        <w:rPr>
          <w:szCs w:val="24"/>
        </w:rPr>
        <w:t>oku</w:t>
      </w:r>
      <w:r w:rsidRPr="00DD7E13">
        <w:rPr>
          <w:szCs w:val="24"/>
        </w:rPr>
        <w:t xml:space="preserve"> 2020.</w:t>
      </w:r>
    </w:p>
    <w:p w:rsidR="002E19CF" w:rsidRPr="00874929" w:rsidRDefault="002E19CF" w:rsidP="00367608">
      <w:pPr>
        <w:spacing w:before="120" w:line="240" w:lineRule="auto"/>
        <w:ind w:firstLine="708"/>
        <w:rPr>
          <w:szCs w:val="24"/>
        </w:rPr>
      </w:pPr>
      <w:r w:rsidRPr="00DD7E13">
        <w:rPr>
          <w:szCs w:val="24"/>
        </w:rPr>
        <w:t xml:space="preserve">Hodnoty makroekonomických </w:t>
      </w:r>
      <w:r>
        <w:rPr>
          <w:szCs w:val="24"/>
        </w:rPr>
        <w:t>agregátů</w:t>
      </w:r>
      <w:r w:rsidRPr="00DD7E13">
        <w:rPr>
          <w:szCs w:val="24"/>
        </w:rPr>
        <w:t xml:space="preserve"> predikované pro rok 2019 v době přípravy rozpočtu byly revidovány, růst výdajů domácností na spotřebu, které mají největší váhu</w:t>
      </w:r>
      <w:r w:rsidR="00AB01B6">
        <w:rPr>
          <w:szCs w:val="24"/>
        </w:rPr>
        <w:t>, se snížil z 6,3 % na 5,7 %. I </w:t>
      </w:r>
      <w:r w:rsidRPr="00874929">
        <w:rPr>
          <w:szCs w:val="24"/>
        </w:rPr>
        <w:t xml:space="preserve">když další makroekonomické agregáty ovlivňující inkaso DPH byly revidovány směrem nahoru, jejich celková změna měla na inkaso DPH mírně negativní vliv (negativní dopad 0,7 mld. Kč).   </w:t>
      </w:r>
    </w:p>
    <w:p w:rsidR="002E19CF" w:rsidRPr="00874929" w:rsidRDefault="002E19CF" w:rsidP="00367608">
      <w:pPr>
        <w:spacing w:before="120" w:line="240" w:lineRule="auto"/>
        <w:ind w:firstLine="708"/>
        <w:rPr>
          <w:szCs w:val="24"/>
        </w:rPr>
      </w:pPr>
      <w:r w:rsidRPr="00874929">
        <w:rPr>
          <w:szCs w:val="24"/>
        </w:rPr>
        <w:t xml:space="preserve">Dalším negativním vlivem bylo jednorázové vyplacení vyšší částky nadměrného odpočtu DPH v únoru 2019 s dopadem na státní rozpočet ve výši 1,2 mld. Kč. </w:t>
      </w:r>
    </w:p>
    <w:p w:rsidR="002E19CF" w:rsidRPr="00874929" w:rsidRDefault="002E19CF" w:rsidP="00367608">
      <w:pPr>
        <w:spacing w:before="120" w:line="240" w:lineRule="auto"/>
        <w:ind w:firstLine="708"/>
        <w:rPr>
          <w:szCs w:val="24"/>
        </w:rPr>
      </w:pPr>
      <w:r w:rsidRPr="00874929">
        <w:rPr>
          <w:szCs w:val="24"/>
        </w:rPr>
        <w:t>Při přípravě rozpočtu na r</w:t>
      </w:r>
      <w:r w:rsidR="00D9106E">
        <w:rPr>
          <w:szCs w:val="24"/>
        </w:rPr>
        <w:t>ok</w:t>
      </w:r>
      <w:r w:rsidRPr="00874929">
        <w:rPr>
          <w:szCs w:val="24"/>
        </w:rPr>
        <w:t xml:space="preserve"> 2019 se dále vycházelo z pozitivního odhadu inkasa na rok 2018, který však nebyl v tak vysoké výši naplněn. </w:t>
      </w:r>
    </w:p>
    <w:p w:rsidR="002E19CF" w:rsidRPr="002E19CF" w:rsidRDefault="002E19CF" w:rsidP="00367608">
      <w:pPr>
        <w:spacing w:before="120" w:line="240" w:lineRule="auto"/>
        <w:ind w:firstLine="708"/>
        <w:rPr>
          <w:rStyle w:val="Siln"/>
          <w:b w:val="0"/>
        </w:rPr>
      </w:pPr>
      <w:r w:rsidRPr="002E19CF">
        <w:rPr>
          <w:rStyle w:val="Siln"/>
        </w:rPr>
        <w:t>Inkaso spotřebních daní</w:t>
      </w:r>
      <w:r w:rsidRPr="002E19CF">
        <w:rPr>
          <w:rStyle w:val="Siln"/>
          <w:b w:val="0"/>
        </w:rPr>
        <w:t xml:space="preserve"> (vč. tzv. energetických daní a odvodu z elektřiny ze slunečního záření) dosáhlo</w:t>
      </w:r>
      <w:r w:rsidRPr="002E19CF">
        <w:rPr>
          <w:rStyle w:val="Siln"/>
        </w:rPr>
        <w:t xml:space="preserve"> </w:t>
      </w:r>
      <w:r w:rsidR="00D9106E">
        <w:rPr>
          <w:rStyle w:val="Siln"/>
        </w:rPr>
        <w:t>158,7</w:t>
      </w:r>
      <w:r w:rsidRPr="002E19CF">
        <w:rPr>
          <w:rStyle w:val="Siln"/>
        </w:rPr>
        <w:t xml:space="preserve"> mld. Kč</w:t>
      </w:r>
      <w:r w:rsidRPr="002E19CF">
        <w:rPr>
          <w:rStyle w:val="Siln"/>
          <w:b w:val="0"/>
        </w:rPr>
        <w:t xml:space="preserve">, což sice představovalo meziroční pokles o </w:t>
      </w:r>
      <w:r w:rsidR="00D9106E">
        <w:rPr>
          <w:rStyle w:val="Siln"/>
          <w:b w:val="0"/>
        </w:rPr>
        <w:t>0,6</w:t>
      </w:r>
      <w:r w:rsidRPr="002E19CF">
        <w:rPr>
          <w:rStyle w:val="Siln"/>
          <w:b w:val="0"/>
        </w:rPr>
        <w:t xml:space="preserve"> mld. Kč, tj. o </w:t>
      </w:r>
      <w:r w:rsidR="00D9106E">
        <w:rPr>
          <w:rStyle w:val="Siln"/>
          <w:b w:val="0"/>
        </w:rPr>
        <w:t>0,3</w:t>
      </w:r>
      <w:r w:rsidRPr="002E19CF">
        <w:rPr>
          <w:rStyle w:val="Siln"/>
          <w:b w:val="0"/>
        </w:rPr>
        <w:t xml:space="preserve"> %, avšak na druhou stranu překročení výše dané rozpočtem o </w:t>
      </w:r>
      <w:r w:rsidR="00D9106E">
        <w:rPr>
          <w:rStyle w:val="Siln"/>
          <w:b w:val="0"/>
        </w:rPr>
        <w:t>1,3</w:t>
      </w:r>
      <w:r w:rsidRPr="002E19CF">
        <w:rPr>
          <w:rStyle w:val="Siln"/>
          <w:b w:val="0"/>
        </w:rPr>
        <w:t xml:space="preserve"> mld. Kč, tj. o </w:t>
      </w:r>
      <w:r w:rsidR="00D9106E">
        <w:rPr>
          <w:rStyle w:val="Siln"/>
          <w:b w:val="0"/>
        </w:rPr>
        <w:t>0,8</w:t>
      </w:r>
      <w:r w:rsidRPr="002E19CF">
        <w:rPr>
          <w:rStyle w:val="Siln"/>
          <w:b w:val="0"/>
        </w:rPr>
        <w:t xml:space="preserve"> %. </w:t>
      </w:r>
    </w:p>
    <w:p w:rsidR="002E19CF" w:rsidRPr="002E19CF" w:rsidRDefault="002E19CF" w:rsidP="00367608">
      <w:pPr>
        <w:pStyle w:val="Zkladntext210"/>
        <w:spacing w:line="240" w:lineRule="auto"/>
        <w:ind w:firstLine="708"/>
        <w:rPr>
          <w:rStyle w:val="Siln"/>
          <w:b w:val="0"/>
          <w:bCs w:val="0"/>
          <w:highlight w:val="lightGray"/>
        </w:rPr>
      </w:pPr>
      <w:r w:rsidRPr="002E19CF">
        <w:rPr>
          <w:rStyle w:val="Siln"/>
          <w:b w:val="0"/>
        </w:rPr>
        <w:t xml:space="preserve">Za meziročním poklesem stálo především inkaso </w:t>
      </w:r>
      <w:r w:rsidRPr="002E19CF">
        <w:rPr>
          <w:rStyle w:val="Siln"/>
        </w:rPr>
        <w:t>spotřební daně z tabákových výrobků</w:t>
      </w:r>
      <w:r w:rsidRPr="002E19CF">
        <w:rPr>
          <w:rStyle w:val="Siln"/>
          <w:b w:val="0"/>
        </w:rPr>
        <w:t xml:space="preserve">, které svým objemem </w:t>
      </w:r>
      <w:r w:rsidR="00D9106E">
        <w:rPr>
          <w:rStyle w:val="Siln"/>
          <w:b w:val="0"/>
        </w:rPr>
        <w:t>55,9</w:t>
      </w:r>
      <w:r w:rsidRPr="002E19CF">
        <w:rPr>
          <w:rStyle w:val="Siln"/>
          <w:b w:val="0"/>
        </w:rPr>
        <w:t xml:space="preserve"> mld. Kč představovalo </w:t>
      </w:r>
      <w:r w:rsidR="00D9106E">
        <w:rPr>
          <w:rStyle w:val="Siln"/>
          <w:b w:val="0"/>
        </w:rPr>
        <w:t>99,7</w:t>
      </w:r>
      <w:r w:rsidRPr="002E19CF">
        <w:rPr>
          <w:rStyle w:val="Siln"/>
          <w:b w:val="0"/>
        </w:rPr>
        <w:t xml:space="preserve"> % rozpočtu s meziročním poklesem o </w:t>
      </w:r>
      <w:r w:rsidR="00D9106E">
        <w:rPr>
          <w:rStyle w:val="Siln"/>
          <w:b w:val="0"/>
        </w:rPr>
        <w:t>2,9 mld. Kč, tj. o 4,9 </w:t>
      </w:r>
      <w:r w:rsidRPr="002E19CF">
        <w:rPr>
          <w:rStyle w:val="Siln"/>
          <w:b w:val="0"/>
        </w:rPr>
        <w:t xml:space="preserve">%. Proti skutečnosti roku 2018 předpokládal rozpočet </w:t>
      </w:r>
      <w:bookmarkStart w:id="0" w:name="_GoBack"/>
      <w:bookmarkEnd w:id="0"/>
      <w:r w:rsidRPr="002E19CF">
        <w:rPr>
          <w:rStyle w:val="Siln"/>
          <w:b w:val="0"/>
        </w:rPr>
        <w:t xml:space="preserve">pokles inkasa o 4,6 %. V roce 2019 došlo ve výběru daně k několika výraznějším výkyvům, přičemž celoroční inkaso roku 2019 nejvíce ovlivnilo předzásobení se staršími tabákovými nálepkami (z důvodu zavedení nového typu značení </w:t>
      </w:r>
      <w:r w:rsidRPr="002E19CF">
        <w:rPr>
          <w:rStyle w:val="Siln"/>
          <w:b w:val="0"/>
        </w:rPr>
        <w:lastRenderedPageBreak/>
        <w:t xml:space="preserve">tabákových výrobků) koncem roku 2018 s následným dopadem do inkasa roku 2019. Další výkyv nastal v důsledku předzásobení </w:t>
      </w:r>
      <w:r w:rsidRPr="002E19CF">
        <w:t>se výrobci a dovozci tabákovými nálepkami, z důvodu povinnosti zajištění sledovatelnosti tabákových výrobků (Track and Trace)</w:t>
      </w:r>
      <w:r w:rsidRPr="002E19CF">
        <w:rPr>
          <w:rStyle w:val="Siln"/>
          <w:b w:val="0"/>
        </w:rPr>
        <w:t xml:space="preserve">. Vývoj inkasa spotřební daně z tabákových výrobků ke konci letošního roku byl ovlivněn nejistotou ohledně účinnosti nových sazeb spotřební daně z tabákových výrobků. Tyto faktory ovlivnily zejména meziroční vývoj inkasa spotřební daně z tabákových výrobků. Důvodem nenaplnění výše rozpočtované částky je však v prvé řadě stále rostoucí obliba alternativních tabákových výrobků, zejména zahřívaných tabákových výrobků, jejichž podíl na celkové spotřebě oproti loňskému roku nad očekávání výrazně vzrostl, ačkoliv s účinností od dubna 2019 jsou tyto výrobky rovněž předmětem spotřební daně, ovšem se sazbou výrazně nižší než u běžných cigaret. </w:t>
      </w:r>
    </w:p>
    <w:p w:rsidR="002E19CF" w:rsidRPr="008A154D" w:rsidRDefault="002E19CF" w:rsidP="00367608">
      <w:pPr>
        <w:pStyle w:val="Zkladntext210"/>
        <w:spacing w:line="240" w:lineRule="auto"/>
        <w:ind w:firstLine="708"/>
      </w:pPr>
      <w:r w:rsidRPr="00AB76A1">
        <w:t xml:space="preserve">Inkaso </w:t>
      </w:r>
      <w:r w:rsidRPr="00AB76A1">
        <w:rPr>
          <w:b/>
        </w:rPr>
        <w:t>spotřební daně z minerálních olejů</w:t>
      </w:r>
      <w:r w:rsidRPr="00AB76A1">
        <w:t xml:space="preserve"> při meziročním růstu o </w:t>
      </w:r>
      <w:r w:rsidR="00D9106E">
        <w:t>2,2</w:t>
      </w:r>
      <w:r w:rsidRPr="00AB76A1">
        <w:t xml:space="preserve"> mld. Kč, tj. o </w:t>
      </w:r>
      <w:r w:rsidR="00D9106E">
        <w:t>2,7</w:t>
      </w:r>
      <w:r w:rsidRPr="00AB76A1">
        <w:t> %</w:t>
      </w:r>
      <w:r>
        <w:t xml:space="preserve">, </w:t>
      </w:r>
      <w:r w:rsidRPr="00AB76A1">
        <w:t xml:space="preserve">dosáhlo </w:t>
      </w:r>
      <w:r w:rsidR="00D9106E">
        <w:t>84,0</w:t>
      </w:r>
      <w:r w:rsidRPr="00AB76A1">
        <w:t xml:space="preserve"> mld. Kč. </w:t>
      </w:r>
      <w:r>
        <w:t xml:space="preserve">Naplnily se tak původní předpoklady, které počítaly s růstem inkasa daně </w:t>
      </w:r>
      <w:r w:rsidRPr="00EA5018">
        <w:t xml:space="preserve">zejména z důvodu pokračujícího pozitivního ekonomického vývoje doprovázeného rostoucími přepravními výkony i vyšší spotřebou pohonných hmot související s rostoucími příjmy domácností. </w:t>
      </w:r>
      <w:r w:rsidRPr="008A154D">
        <w:t xml:space="preserve">Celkový růst inkasa byl rovněž ovlivněn vratkou za tzv. zelenou naftu i pro živočišnou prvovýrobu (zavedena v roce 2017 a v následujících letech dále novelizována). Vzhledem k poslední legislativní změně, která prodlužuje zdaňovací období z kalendářního měsíce na kalendářní čtvrtletí, případně kalendářní rok, bude část této daně vracena až v roce 2020, což způsobilo vyšší meziroční růst inkasa této daně v roce 2019. Rozpočtovaná částka však byla dosažena, respektive mírně překročena.  </w:t>
      </w:r>
    </w:p>
    <w:p w:rsidR="002E19CF" w:rsidRPr="001F19E2" w:rsidRDefault="002E19CF" w:rsidP="00367608">
      <w:pPr>
        <w:pStyle w:val="Zkladntext210"/>
        <w:spacing w:line="240" w:lineRule="auto"/>
        <w:ind w:firstLine="708"/>
      </w:pPr>
      <w:r w:rsidRPr="005422E4">
        <w:t xml:space="preserve">Inkaso </w:t>
      </w:r>
      <w:r w:rsidRPr="005422E4">
        <w:rPr>
          <w:b/>
        </w:rPr>
        <w:t>daně z příjmů fyzických osob placené plátci</w:t>
      </w:r>
      <w:r w:rsidRPr="005422E4">
        <w:t xml:space="preserve"> (dříve ze závislé činnosti) při meziročním růstu o </w:t>
      </w:r>
      <w:r w:rsidR="007F4AB8">
        <w:t>14,9</w:t>
      </w:r>
      <w:r w:rsidRPr="005422E4">
        <w:t> mld. Kč, tj. o </w:t>
      </w:r>
      <w:r w:rsidR="007F4AB8">
        <w:t>11,7</w:t>
      </w:r>
      <w:r w:rsidRPr="005422E4">
        <w:t xml:space="preserve"> %, dosáhlo objemu </w:t>
      </w:r>
      <w:r w:rsidR="007F4AB8">
        <w:t>142,8</w:t>
      </w:r>
      <w:r w:rsidRPr="005422E4">
        <w:t xml:space="preserve"> mld. Kč. </w:t>
      </w:r>
      <w:r w:rsidR="00784D77">
        <w:t>M</w:t>
      </w:r>
      <w:r w:rsidRPr="004E382E">
        <w:t xml:space="preserve">eziroční růst inkasa byl odrazem jak pokračujícího vysokého růstu platů a mezd ve veřejném i v soukromém sektoru, zvýšením minimální a zaručených mezd, tak i vysoké úrovně zaměstnanosti. Pozitivně se na inkasu projevilo i zavedení elektronické evidence tržeb. </w:t>
      </w:r>
      <w:r w:rsidR="00784D77">
        <w:t>Negativně působil nižší růst</w:t>
      </w:r>
      <w:r w:rsidRPr="008A154D">
        <w:t xml:space="preserve"> objemu mezd a platů, kdy v době přípravy státního rozpočtu </w:t>
      </w:r>
      <w:r>
        <w:t xml:space="preserve">byl </w:t>
      </w:r>
      <w:r w:rsidRPr="008A154D">
        <w:t xml:space="preserve">očekáván tento růst 8,3 %, zatímco aktuální odhad je 7,4 %. Tento vliv byl ještě akcentován progresivním charakterem této daně. </w:t>
      </w:r>
    </w:p>
    <w:p w:rsidR="002E19CF" w:rsidRPr="005422E4" w:rsidRDefault="002E19CF" w:rsidP="00367608">
      <w:pPr>
        <w:pStyle w:val="Zkladntext210"/>
        <w:spacing w:line="240" w:lineRule="auto"/>
        <w:ind w:firstLine="708"/>
      </w:pPr>
      <w:r w:rsidRPr="00E548F0">
        <w:t xml:space="preserve">Inkaso </w:t>
      </w:r>
      <w:r w:rsidRPr="00E548F0">
        <w:rPr>
          <w:b/>
        </w:rPr>
        <w:t>daně z příjmů fyzických osob placené poplatníky</w:t>
      </w:r>
      <w:r w:rsidRPr="00E548F0">
        <w:t xml:space="preserve"> (</w:t>
      </w:r>
      <w:r>
        <w:t>dříve z</w:t>
      </w:r>
      <w:r w:rsidRPr="00E548F0">
        <w:t xml:space="preserve"> přiznání) dosáhlo </w:t>
      </w:r>
      <w:r w:rsidR="007F4AB8">
        <w:t>8,0</w:t>
      </w:r>
      <w:r>
        <w:t> mld. Kč, což </w:t>
      </w:r>
      <w:r w:rsidRPr="00E548F0">
        <w:t>představovalo meziroční růst o </w:t>
      </w:r>
      <w:r w:rsidR="007F4AB8">
        <w:t>1,7</w:t>
      </w:r>
      <w:r>
        <w:t> mld. Kč, tj. o </w:t>
      </w:r>
      <w:r w:rsidR="007F4AB8">
        <w:t>26,2</w:t>
      </w:r>
      <w:r>
        <w:t> </w:t>
      </w:r>
      <w:r w:rsidRPr="005422E4">
        <w:t xml:space="preserve">%. Na růst inkasa této daně měl pozitivní vliv ekonomický růst a již i celoroční dopad zavedení první a druhé fáze elektronické evidence tržeb. Naopak negativní vliv na inkaso mělo navrácení možnosti uplatnění vybraných slev na dani u poplatníků uplatňujících paušální výdaje </w:t>
      </w:r>
      <w:r>
        <w:t xml:space="preserve">při současném </w:t>
      </w:r>
      <w:r w:rsidRPr="005422E4">
        <w:t>snížení limitu pro výdajové paušály. Negativní dopad v odhadované výši 0,4 mld. Kč mělo také zvýšení daňového zvýhodnění na první děti.</w:t>
      </w:r>
    </w:p>
    <w:p w:rsidR="002E19CF" w:rsidRPr="00997DC4" w:rsidRDefault="002E19CF" w:rsidP="00367608">
      <w:pPr>
        <w:pStyle w:val="Zkladntext210"/>
        <w:spacing w:line="240" w:lineRule="auto"/>
        <w:ind w:firstLine="708"/>
      </w:pPr>
      <w:r w:rsidRPr="00997DC4">
        <w:t xml:space="preserve">Na inkaso </w:t>
      </w:r>
      <w:r w:rsidRPr="00997DC4">
        <w:rPr>
          <w:b/>
        </w:rPr>
        <w:t xml:space="preserve">daně z příjmů fyzických osob vybírané srážkou, </w:t>
      </w:r>
      <w:r w:rsidRPr="00997DC4">
        <w:t xml:space="preserve">které při meziročním růstu o </w:t>
      </w:r>
      <w:r w:rsidR="004968AF">
        <w:t>1,4</w:t>
      </w:r>
      <w:r w:rsidRPr="00997DC4">
        <w:t xml:space="preserve"> mld. Kč, tj. o </w:t>
      </w:r>
      <w:r w:rsidR="004968AF">
        <w:t>11,3</w:t>
      </w:r>
      <w:r w:rsidRPr="00997DC4">
        <w:t xml:space="preserve"> %, dosáhlo </w:t>
      </w:r>
      <w:r w:rsidR="004968AF">
        <w:t>13,8</w:t>
      </w:r>
      <w:r w:rsidRPr="00997DC4">
        <w:t xml:space="preserve"> mld. Kč, neměly v roce 201</w:t>
      </w:r>
      <w:r>
        <w:t>9</w:t>
      </w:r>
      <w:r w:rsidRPr="00997DC4">
        <w:t xml:space="preserve"> vliv žádné vý</w:t>
      </w:r>
      <w:r>
        <w:t>raznější legislativní úpravy. I </w:t>
      </w:r>
      <w:r w:rsidRPr="00997DC4">
        <w:t xml:space="preserve">přesto byl rozpočet této daně poměrně výrazně překročen, a to o </w:t>
      </w:r>
      <w:r w:rsidR="00976F2C">
        <w:t>1,8</w:t>
      </w:r>
      <w:r w:rsidRPr="00997DC4">
        <w:t xml:space="preserve"> mld. Kč, tj. o </w:t>
      </w:r>
      <w:r w:rsidR="00976F2C">
        <w:t>15,1</w:t>
      </w:r>
      <w:r>
        <w:t xml:space="preserve"> </w:t>
      </w:r>
      <w:r w:rsidRPr="00997DC4">
        <w:t xml:space="preserve">%. </w:t>
      </w:r>
      <w:r w:rsidRPr="005422E4">
        <w:t>Pravděpodobným důvodem může být vyšší než odhadované využívání částečných pracovních úvazků.</w:t>
      </w:r>
      <w:r>
        <w:t xml:space="preserve"> </w:t>
      </w:r>
    </w:p>
    <w:p w:rsidR="002E19CF" w:rsidRPr="00310EA7" w:rsidRDefault="002E19CF" w:rsidP="00367608">
      <w:pPr>
        <w:pStyle w:val="Zkladntext210"/>
        <w:spacing w:line="240" w:lineRule="auto"/>
        <w:ind w:firstLine="708"/>
        <w:rPr>
          <w:b/>
          <w:highlight w:val="yellow"/>
        </w:rPr>
      </w:pPr>
      <w:r w:rsidRPr="00E548F0">
        <w:rPr>
          <w:b/>
        </w:rPr>
        <w:t>Inkaso daní z příjmů právnických osob</w:t>
      </w:r>
      <w:r w:rsidRPr="00E548F0">
        <w:t xml:space="preserve"> dosáhlo </w:t>
      </w:r>
      <w:r w:rsidR="00976F2C">
        <w:t>123,5</w:t>
      </w:r>
      <w:r w:rsidRPr="00E548F0">
        <w:t xml:space="preserve"> mld. Kč. To představovalo meziroční růst o </w:t>
      </w:r>
      <w:r w:rsidR="00976F2C">
        <w:t>6,0</w:t>
      </w:r>
      <w:r w:rsidRPr="00E548F0">
        <w:t xml:space="preserve"> mld. Kč, tj. o </w:t>
      </w:r>
      <w:r w:rsidR="00976F2C">
        <w:t>5,1</w:t>
      </w:r>
      <w:r w:rsidRPr="00E548F0">
        <w:t xml:space="preserve"> %. </w:t>
      </w:r>
      <w:r w:rsidR="00784D77">
        <w:t>Negativně působil</w:t>
      </w:r>
      <w:r>
        <w:t xml:space="preserve"> především vývoj DPPO vybírané srážkou podle zvláštní sazby. Tato daň je ovlivňována především dividendovou politikou podnikatelských subjektů, je závislá na interních rozhodnutích konkrétních subjektů a je tudíž obtížně predikovatelná. Dalším faktorem byl meziroční vývoj daňové povinnosti u jednoho významného subjektu, který se negativně promítl do ročního vyrovnání daně i následných zbývajících záloh daně v letošním roce. Nicméně dosažené inkaso daně </w:t>
      </w:r>
      <w:r w:rsidRPr="00FD6BDA">
        <w:t>z příjmů právnických osob</w:t>
      </w:r>
      <w:r>
        <w:t xml:space="preserve"> je n</w:t>
      </w:r>
      <w:r w:rsidRPr="00FD6BDA">
        <w:t>ejvyšší</w:t>
      </w:r>
      <w:r>
        <w:t>m</w:t>
      </w:r>
      <w:r w:rsidRPr="00FD6BDA">
        <w:t xml:space="preserve"> dosažen</w:t>
      </w:r>
      <w:r>
        <w:t>ým inkasem</w:t>
      </w:r>
      <w:r w:rsidRPr="00FD6BDA">
        <w:t xml:space="preserve"> od </w:t>
      </w:r>
      <w:r w:rsidRPr="00874929">
        <w:t>vypuknutí hospodářské krize (rok 2008), což je odrazem příznivého ekonomického vývoje především v roce 2018. Inkaso</w:t>
      </w:r>
      <w:r w:rsidRPr="00FD6BDA">
        <w:t xml:space="preserve"> bylo v průběhu roku 201</w:t>
      </w:r>
      <w:r>
        <w:t>9</w:t>
      </w:r>
      <w:r w:rsidRPr="00FD6BDA">
        <w:t xml:space="preserve"> </w:t>
      </w:r>
      <w:r>
        <w:t xml:space="preserve">také </w:t>
      </w:r>
      <w:r w:rsidRPr="00FD6BDA">
        <w:t>pozitivně ovlivněno dopadem zavedení elektronické evidence tržeb.</w:t>
      </w:r>
    </w:p>
    <w:p w:rsidR="002E19CF" w:rsidRDefault="002E19CF" w:rsidP="00367608">
      <w:pPr>
        <w:spacing w:before="120" w:line="240" w:lineRule="auto"/>
        <w:ind w:firstLine="708"/>
      </w:pPr>
      <w:r w:rsidRPr="00416346">
        <w:lastRenderedPageBreak/>
        <w:t xml:space="preserve">U inkasa </w:t>
      </w:r>
      <w:r w:rsidRPr="00416346">
        <w:rPr>
          <w:b/>
        </w:rPr>
        <w:t xml:space="preserve">daně z nabytí nemovitých věcí, </w:t>
      </w:r>
      <w:r w:rsidRPr="00416346">
        <w:t xml:space="preserve">které při meziročním růstu o </w:t>
      </w:r>
      <w:r w:rsidR="00976F2C">
        <w:t>0,2</w:t>
      </w:r>
      <w:r w:rsidRPr="00416346">
        <w:t xml:space="preserve"> mld. Kč, tj. o </w:t>
      </w:r>
      <w:r w:rsidR="00976F2C">
        <w:t>1,8</w:t>
      </w:r>
      <w:r w:rsidRPr="00416346">
        <w:t xml:space="preserve"> % dosáhlo </w:t>
      </w:r>
      <w:r>
        <w:t>13,</w:t>
      </w:r>
      <w:r w:rsidR="00976F2C">
        <w:t>9</w:t>
      </w:r>
      <w:r w:rsidRPr="00416346">
        <w:t xml:space="preserve"> mld. Kč, se v roce 201</w:t>
      </w:r>
      <w:r>
        <w:t>9</w:t>
      </w:r>
      <w:r w:rsidRPr="00416346">
        <w:t xml:space="preserve"> nepočítalo s žádnými legislativními změnami, které měly mít zásadní dopad na inkaso daně. K očekávané stagnaci realitního trhu zatím </w:t>
      </w:r>
      <w:r>
        <w:t xml:space="preserve">pravděpodobně v tak velké míře </w:t>
      </w:r>
      <w:r w:rsidRPr="00416346">
        <w:t>nedošlo</w:t>
      </w:r>
      <w:r>
        <w:t xml:space="preserve">, resp. objem transakcí v důsledku růstu cen stále roste, </w:t>
      </w:r>
      <w:r w:rsidRPr="00416346">
        <w:t xml:space="preserve">a rozpočet této daně tak byl překročen poměrně výrazně o </w:t>
      </w:r>
      <w:r w:rsidR="00976F2C">
        <w:t>1,6</w:t>
      </w:r>
      <w:r w:rsidRPr="00416346">
        <w:t xml:space="preserve"> mld. Kč, tj. o </w:t>
      </w:r>
      <w:r w:rsidR="00976F2C">
        <w:t>12,8</w:t>
      </w:r>
      <w:r w:rsidRPr="00416346">
        <w:t xml:space="preserve"> %.</w:t>
      </w:r>
    </w:p>
    <w:p w:rsidR="002B4572" w:rsidRDefault="007D3EBB" w:rsidP="00367608">
      <w:pPr>
        <w:spacing w:before="120" w:line="240" w:lineRule="auto"/>
        <w:ind w:firstLine="708"/>
      </w:pPr>
      <w:r w:rsidRPr="00FC6C08">
        <w:rPr>
          <w:b/>
        </w:rPr>
        <w:t>P</w:t>
      </w:r>
      <w:r w:rsidR="00DC308F" w:rsidRPr="00FC6C08">
        <w:rPr>
          <w:b/>
        </w:rPr>
        <w:t>říjm</w:t>
      </w:r>
      <w:r w:rsidRPr="00FC6C08">
        <w:rPr>
          <w:b/>
        </w:rPr>
        <w:t>y</w:t>
      </w:r>
      <w:r w:rsidR="0089166B" w:rsidRPr="00FC6C08">
        <w:rPr>
          <w:b/>
        </w:rPr>
        <w:t xml:space="preserve"> z pojistného</w:t>
      </w:r>
      <w:r w:rsidR="0089166B" w:rsidRPr="00FC6C08">
        <w:t xml:space="preserve"> </w:t>
      </w:r>
      <w:r w:rsidR="0089166B" w:rsidRPr="00FC6C08">
        <w:rPr>
          <w:b/>
        </w:rPr>
        <w:t>na sociální zabezpečení</w:t>
      </w:r>
      <w:r w:rsidRPr="00FC6C08">
        <w:t xml:space="preserve"> dosáhly </w:t>
      </w:r>
      <w:r w:rsidR="00976F2C">
        <w:t>551,7</w:t>
      </w:r>
      <w:r w:rsidRPr="00FC6C08">
        <w:t xml:space="preserve"> mld. Kč, což představovalo meziroční růst o </w:t>
      </w:r>
      <w:r w:rsidR="00976F2C">
        <w:t>38,4</w:t>
      </w:r>
      <w:r w:rsidRPr="00FC6C08">
        <w:t xml:space="preserve"> mld. Kč, tj. o </w:t>
      </w:r>
      <w:r w:rsidR="00976F2C">
        <w:t>7,5</w:t>
      </w:r>
      <w:r w:rsidRPr="00FC6C08">
        <w:t xml:space="preserve"> </w:t>
      </w:r>
      <w:r w:rsidR="00784D77">
        <w:t>Negativně působil nižší růst</w:t>
      </w:r>
      <w:r w:rsidR="00A46049">
        <w:t xml:space="preserve"> objemu mezd a platů, než se očekávalo při přípravě rozpočtu.</w:t>
      </w:r>
    </w:p>
    <w:p w:rsidR="001955C2" w:rsidRPr="00896B31" w:rsidRDefault="00BC1B58" w:rsidP="00367608">
      <w:pPr>
        <w:spacing w:before="120" w:line="240" w:lineRule="auto"/>
        <w:ind w:firstLine="708"/>
        <w:rPr>
          <w:b/>
        </w:rPr>
      </w:pPr>
      <w:r w:rsidRPr="00E548F0">
        <w:rPr>
          <w:b/>
        </w:rPr>
        <w:t>Nedaňové a kapitálové příjmy a přijaté transfery</w:t>
      </w:r>
      <w:r w:rsidRPr="00E548F0">
        <w:t xml:space="preserve"> ve výši </w:t>
      </w:r>
      <w:r w:rsidR="00A46049">
        <w:t>208,8</w:t>
      </w:r>
      <w:r w:rsidRPr="00E548F0">
        <w:t xml:space="preserve"> mld. Kč představovaly plnění rozpočtu po změnách na </w:t>
      </w:r>
      <w:r w:rsidR="00A46049">
        <w:t>122,4</w:t>
      </w:r>
      <w:r w:rsidRPr="00E548F0">
        <w:t xml:space="preserve"> % (</w:t>
      </w:r>
      <w:r>
        <w:t xml:space="preserve">překročení o </w:t>
      </w:r>
      <w:r w:rsidR="00A46049">
        <w:t>38,3</w:t>
      </w:r>
      <w:r w:rsidRPr="00E548F0">
        <w:t xml:space="preserve"> mld. Kč) a meziročně byly </w:t>
      </w:r>
      <w:r>
        <w:t>vyšší</w:t>
      </w:r>
      <w:r w:rsidRPr="00E548F0">
        <w:t xml:space="preserve"> o </w:t>
      </w:r>
      <w:r w:rsidR="00A46049">
        <w:t>45,3</w:t>
      </w:r>
      <w:r w:rsidRPr="00E548F0">
        <w:t xml:space="preserve"> mld. Kč, tj. o </w:t>
      </w:r>
      <w:r w:rsidR="00A46049">
        <w:t>27,7</w:t>
      </w:r>
      <w:r w:rsidRPr="00E548F0">
        <w:t xml:space="preserve"> %.</w:t>
      </w:r>
      <w:r>
        <w:t xml:space="preserve"> Na </w:t>
      </w:r>
      <w:r w:rsidRPr="00E548F0">
        <w:t xml:space="preserve">jejich </w:t>
      </w:r>
      <w:r w:rsidR="00DE1392">
        <w:t>obejmu</w:t>
      </w:r>
      <w:r w:rsidRPr="00E548F0">
        <w:t xml:space="preserve"> se nejvíce podílely </w:t>
      </w:r>
      <w:r w:rsidRPr="00E548F0">
        <w:rPr>
          <w:b/>
        </w:rPr>
        <w:t>příjmy z rozpočtu EU a z</w:t>
      </w:r>
      <w:r w:rsidR="00DE1392">
        <w:rPr>
          <w:b/>
        </w:rPr>
        <w:t> </w:t>
      </w:r>
      <w:r w:rsidRPr="00E548F0">
        <w:rPr>
          <w:b/>
        </w:rPr>
        <w:t>FM</w:t>
      </w:r>
      <w:r w:rsidR="00DE1392" w:rsidRPr="00DE1392">
        <w:t xml:space="preserve">, které dosáhly </w:t>
      </w:r>
      <w:r w:rsidR="00A46049">
        <w:t>125,7 </w:t>
      </w:r>
      <w:r w:rsidR="00DE1392" w:rsidRPr="00DE1392">
        <w:t xml:space="preserve">mld. Kč, tj. </w:t>
      </w:r>
      <w:r w:rsidR="00A46049">
        <w:t>102,2</w:t>
      </w:r>
      <w:r w:rsidR="00DE1392" w:rsidRPr="00DE1392">
        <w:t xml:space="preserve"> % rozpočtu po změnách</w:t>
      </w:r>
      <w:r w:rsidRPr="00E548F0">
        <w:t>.</w:t>
      </w:r>
      <w:r w:rsidR="00DE1392">
        <w:t xml:space="preserve"> Meziročně vzrostly o </w:t>
      </w:r>
      <w:r w:rsidR="00B72489">
        <w:t>6,7</w:t>
      </w:r>
      <w:r w:rsidR="00DE1392">
        <w:t xml:space="preserve"> mld. </w:t>
      </w:r>
      <w:r w:rsidR="00DE1392" w:rsidRPr="00896B31">
        <w:t xml:space="preserve">Kč </w:t>
      </w:r>
      <w:r w:rsidR="00FF2060" w:rsidRPr="00896B31">
        <w:t>i přes to, že</w:t>
      </w:r>
      <w:r w:rsidR="004F27D4" w:rsidRPr="00896B31">
        <w:t xml:space="preserve"> v</w:t>
      </w:r>
      <w:r w:rsidR="009E5687" w:rsidRPr="00896B31">
        <w:t xml:space="preserve"> </w:t>
      </w:r>
      <w:r w:rsidR="00736DBB" w:rsidRPr="00896B31">
        <w:t>roce</w:t>
      </w:r>
      <w:r w:rsidR="004F27D4" w:rsidRPr="00896B31">
        <w:t xml:space="preserve"> 2018 </w:t>
      </w:r>
      <w:r w:rsidR="008B39C0" w:rsidRPr="00896B31">
        <w:t xml:space="preserve">získal </w:t>
      </w:r>
      <w:r w:rsidR="004F27D4" w:rsidRPr="00896B31">
        <w:t xml:space="preserve">státní rozpočet </w:t>
      </w:r>
      <w:r w:rsidR="000D6A84" w:rsidRPr="00896B31">
        <w:t>2</w:t>
      </w:r>
      <w:r w:rsidR="00736DBB" w:rsidRPr="00896B31">
        <w:t>3,9</w:t>
      </w:r>
      <w:r w:rsidR="00B9041B" w:rsidRPr="00896B31">
        <w:t> </w:t>
      </w:r>
      <w:r w:rsidR="00FC1F26" w:rsidRPr="00896B31">
        <w:t xml:space="preserve">mld. Kč, které představovaly část závěrečných plateb vztahujících se k programovému </w:t>
      </w:r>
      <w:r w:rsidR="007F2FC5" w:rsidRPr="00896B31">
        <w:t>období 2007–2013</w:t>
      </w:r>
      <w:r w:rsidR="00FC1F26" w:rsidRPr="00896B31">
        <w:t>.</w:t>
      </w:r>
      <w:r w:rsidR="006B716C" w:rsidRPr="00896B31">
        <w:t xml:space="preserve"> </w:t>
      </w:r>
      <w:r w:rsidR="00F56FA3" w:rsidRPr="00896B31">
        <w:t xml:space="preserve">Bez těchto prostředků by příjmy z EU dosáhly výrazného růstu, který odpovídá vyšší schopnosti realizace společných programů EU a ČR, se kterou souvisí i následná refundace prostředků z rozpočtu EU. </w:t>
      </w:r>
      <w:r w:rsidR="00736DBB" w:rsidRPr="00896B31">
        <w:t xml:space="preserve">K výraznému růstu těchto příjmů přispěl </w:t>
      </w:r>
      <w:r w:rsidR="00700CDE" w:rsidRPr="00896B31">
        <w:t>i</w:t>
      </w:r>
      <w:r w:rsidR="000050B7" w:rsidRPr="00896B31">
        <w:t xml:space="preserve"> </w:t>
      </w:r>
      <w:r w:rsidRPr="00896B31">
        <w:t>plánovaný</w:t>
      </w:r>
      <w:r w:rsidR="00700CDE" w:rsidRPr="00896B31">
        <w:t xml:space="preserve"> převod 18 </w:t>
      </w:r>
      <w:r w:rsidR="00A446E2" w:rsidRPr="00896B31">
        <w:t xml:space="preserve">mld. Kč </w:t>
      </w:r>
      <w:r w:rsidR="00494BA8" w:rsidRPr="00896B31">
        <w:t>z tzv. </w:t>
      </w:r>
      <w:r w:rsidR="006B716C" w:rsidRPr="00896B31">
        <w:t>privatizačního účtu do příjmů kapitoly VPS</w:t>
      </w:r>
      <w:r w:rsidR="00736DBB" w:rsidRPr="00896B31">
        <w:t>, který byl v roce 2018 nulový</w:t>
      </w:r>
      <w:r w:rsidRPr="00896B31">
        <w:t>. K</w:t>
      </w:r>
      <w:r w:rsidR="00DE1392" w:rsidRPr="00896B31">
        <w:t> meziročnímu růstu, ale i k vysokému</w:t>
      </w:r>
      <w:r w:rsidRPr="00896B31">
        <w:t xml:space="preserve"> překročení rozpočtu,</w:t>
      </w:r>
      <w:r w:rsidR="00736DBB" w:rsidRPr="00896B31">
        <w:t xml:space="preserve"> </w:t>
      </w:r>
      <w:r w:rsidR="00DE1392" w:rsidRPr="00896B31">
        <w:t>vedl</w:t>
      </w:r>
      <w:r w:rsidR="00736DBB" w:rsidRPr="00896B31">
        <w:t xml:space="preserve"> také převod 18,6 mld. Kč</w:t>
      </w:r>
      <w:r w:rsidRPr="00896B31">
        <w:t xml:space="preserve"> z kapitoly V</w:t>
      </w:r>
      <w:r w:rsidR="00B72489">
        <w:t>šeobecná pokladní správa</w:t>
      </w:r>
      <w:r w:rsidRPr="00896B31">
        <w:t xml:space="preserve"> do kapitoly O</w:t>
      </w:r>
      <w:r w:rsidR="00B72489">
        <w:t>perace státních finančních aktiv</w:t>
      </w:r>
      <w:r w:rsidRPr="00896B31">
        <w:t xml:space="preserve"> (</w:t>
      </w:r>
      <w:r w:rsidR="00896B31" w:rsidRPr="00896B31">
        <w:t xml:space="preserve">z hlediska </w:t>
      </w:r>
      <w:r w:rsidR="00DE1392" w:rsidRPr="00896B31">
        <w:t>rozpočt</w:t>
      </w:r>
      <w:r w:rsidR="00896B31" w:rsidRPr="00896B31">
        <w:t>u</w:t>
      </w:r>
      <w:r w:rsidR="00DE1392" w:rsidRPr="00896B31">
        <w:t xml:space="preserve"> neutrální operace</w:t>
      </w:r>
      <w:r w:rsidRPr="00896B31">
        <w:t>) v souvislosti s převodem přebytku hospodaření systému důchodového pojištění za rok 2018</w:t>
      </w:r>
      <w:r w:rsidR="00896B31" w:rsidRPr="00896B31">
        <w:t xml:space="preserve"> (nebylo rozpočtováno)</w:t>
      </w:r>
      <w:r w:rsidRPr="00896B31">
        <w:t>.</w:t>
      </w:r>
      <w:r w:rsidR="00896B31">
        <w:t xml:space="preserve"> </w:t>
      </w:r>
      <w:r w:rsidR="001F4D9D">
        <w:t>P</w:t>
      </w:r>
      <w:r w:rsidR="00896B31">
        <w:t>lán</w:t>
      </w:r>
      <w:r w:rsidR="001F4D9D">
        <w:t>ovanou výši</w:t>
      </w:r>
      <w:r w:rsidR="00896B31">
        <w:t xml:space="preserve"> překročily o </w:t>
      </w:r>
      <w:r w:rsidR="001F4D9D">
        <w:t xml:space="preserve">8,7 </w:t>
      </w:r>
      <w:r w:rsidR="00896B31">
        <w:t>mld. Kč i příjmy z prodeje emisních povolenek, které jsou inkasovány Ministerstv</w:t>
      </w:r>
      <w:r w:rsidR="00B72489">
        <w:t>em</w:t>
      </w:r>
      <w:r w:rsidR="00896B31">
        <w:t xml:space="preserve"> životního prostředí.</w:t>
      </w:r>
    </w:p>
    <w:p w:rsidR="00FA58AC" w:rsidRDefault="00FA58AC" w:rsidP="00E87067">
      <w:pPr>
        <w:pStyle w:val="Zkladntext21"/>
        <w:tabs>
          <w:tab w:val="left" w:pos="5685"/>
        </w:tabs>
        <w:spacing w:line="240" w:lineRule="auto"/>
        <w:ind w:firstLine="0"/>
        <w:rPr>
          <w:b/>
        </w:rPr>
      </w:pPr>
      <w:r w:rsidRPr="00896B31">
        <w:rPr>
          <w:b/>
        </w:rPr>
        <w:t>Výdaje státního rozpočtu</w:t>
      </w:r>
      <w:r w:rsidR="00605939">
        <w:rPr>
          <w:b/>
        </w:rPr>
        <w:t xml:space="preserve"> - </w:t>
      </w:r>
      <w:r w:rsidR="00605939">
        <w:rPr>
          <w:b/>
          <w:bCs/>
        </w:rPr>
        <w:t>podrobný komentář</w:t>
      </w:r>
    </w:p>
    <w:p w:rsidR="00715BF4" w:rsidRDefault="00715BF4" w:rsidP="00367608">
      <w:pPr>
        <w:pStyle w:val="Zkladntext210"/>
        <w:spacing w:line="240" w:lineRule="auto"/>
        <w:ind w:firstLine="708"/>
      </w:pPr>
      <w:r w:rsidRPr="00E548F0">
        <w:rPr>
          <w:b/>
        </w:rPr>
        <w:t xml:space="preserve">Celkové výdaje </w:t>
      </w:r>
      <w:r w:rsidRPr="00E548F0">
        <w:t>byly v roce 201</w:t>
      </w:r>
      <w:r>
        <w:t>9</w:t>
      </w:r>
      <w:r w:rsidRPr="00E548F0">
        <w:t xml:space="preserve"> čerpány v objemu</w:t>
      </w:r>
      <w:r w:rsidRPr="00E548F0">
        <w:rPr>
          <w:b/>
        </w:rPr>
        <w:t xml:space="preserve"> </w:t>
      </w:r>
      <w:r w:rsidR="00B72489">
        <w:rPr>
          <w:b/>
        </w:rPr>
        <w:t>1 551,7</w:t>
      </w:r>
      <w:r w:rsidRPr="00E548F0">
        <w:rPr>
          <w:b/>
        </w:rPr>
        <w:t xml:space="preserve"> mld. Kč</w:t>
      </w:r>
      <w:r w:rsidRPr="00E548F0">
        <w:t>, což proti skutečnosti roku 201</w:t>
      </w:r>
      <w:r>
        <w:t>8</w:t>
      </w:r>
      <w:r w:rsidRPr="00E548F0">
        <w:t xml:space="preserve"> představovalo meziroční růst </w:t>
      </w:r>
      <w:r w:rsidRPr="00E548F0">
        <w:rPr>
          <w:b/>
        </w:rPr>
        <w:t xml:space="preserve">o </w:t>
      </w:r>
      <w:r w:rsidR="00B72489">
        <w:rPr>
          <w:b/>
        </w:rPr>
        <w:t>150,8</w:t>
      </w:r>
      <w:r w:rsidRPr="00E548F0">
        <w:rPr>
          <w:b/>
        </w:rPr>
        <w:t xml:space="preserve"> mld. Kč, tj. o </w:t>
      </w:r>
      <w:r w:rsidR="00B72489">
        <w:rPr>
          <w:b/>
        </w:rPr>
        <w:t>10,8</w:t>
      </w:r>
      <w:r w:rsidRPr="00E548F0">
        <w:rPr>
          <w:b/>
        </w:rPr>
        <w:t xml:space="preserve"> %.</w:t>
      </w:r>
      <w:r>
        <w:t xml:space="preserve"> Výši</w:t>
      </w:r>
      <w:r w:rsidRPr="00E548F0">
        <w:t xml:space="preserve"> dan</w:t>
      </w:r>
      <w:r>
        <w:t>ou</w:t>
      </w:r>
      <w:r w:rsidRPr="00E548F0">
        <w:t xml:space="preserve"> rozpočtem </w:t>
      </w:r>
      <w:r>
        <w:t>po změnách převýšily o </w:t>
      </w:r>
      <w:r w:rsidR="00B72489">
        <w:t>15,8</w:t>
      </w:r>
      <w:r w:rsidRPr="00E548F0">
        <w:t xml:space="preserve"> mld. Kč, tj. o </w:t>
      </w:r>
      <w:r w:rsidR="00B72489">
        <w:t>1,0</w:t>
      </w:r>
      <w:r w:rsidRPr="00E548F0">
        <w:t xml:space="preserve"> %</w:t>
      </w:r>
      <w:r w:rsidR="00B72489">
        <w:t xml:space="preserve"> (při očištění výdajů od rozpočtově neutrálního převodu již zmíněného přebytku důchodového pojištění za rok 2018 ve výši 18,6 mld. Kč by výše daná rozpočtem po změnách byla dodržena)</w:t>
      </w:r>
      <w:r w:rsidRPr="001A6519">
        <w:t xml:space="preserve">. </w:t>
      </w:r>
    </w:p>
    <w:p w:rsidR="00715BF4" w:rsidRDefault="00715BF4" w:rsidP="00367608">
      <w:pPr>
        <w:pStyle w:val="Zkladntext210"/>
        <w:spacing w:line="240" w:lineRule="auto"/>
        <w:ind w:firstLine="708"/>
      </w:pPr>
      <w:r>
        <w:t>Na</w:t>
      </w:r>
      <w:r w:rsidR="00DE6A81">
        <w:t xml:space="preserve">d rámec rozpočtu je organizačním složkám státu umožněno čerpat </w:t>
      </w:r>
      <w:r w:rsidRPr="00BF6614">
        <w:t>nespotřebovan</w:t>
      </w:r>
      <w:r w:rsidR="00DE6A81">
        <w:t>é</w:t>
      </w:r>
      <w:r w:rsidRPr="00BF6614">
        <w:t xml:space="preserve"> výdaj</w:t>
      </w:r>
      <w:r w:rsidR="00DE6A81">
        <w:t>e</w:t>
      </w:r>
      <w:r w:rsidRPr="00BF6614">
        <w:t xml:space="preserve"> minulých let</w:t>
      </w:r>
      <w:r w:rsidR="00DE6A81">
        <w:t xml:space="preserve">. Ty </w:t>
      </w:r>
      <w:r>
        <w:t>v průběhu roku 2019</w:t>
      </w:r>
      <w:r w:rsidRPr="00BF6614">
        <w:t xml:space="preserve"> </w:t>
      </w:r>
      <w:r>
        <w:t>dosáhl</w:t>
      </w:r>
      <w:r w:rsidR="00DE6A81">
        <w:t>y</w:t>
      </w:r>
      <w:r w:rsidRPr="00BF6614">
        <w:t xml:space="preserve"> </w:t>
      </w:r>
      <w:r w:rsidR="00DE6A81">
        <w:t>téměř 71</w:t>
      </w:r>
      <w:r w:rsidRPr="00BF6614">
        <w:t xml:space="preserve"> mld. Kč</w:t>
      </w:r>
      <w:r w:rsidR="001448E5">
        <w:t xml:space="preserve"> a i jejich čerpání</w:t>
      </w:r>
      <w:r>
        <w:t xml:space="preserve"> vedlo k překročení rozpočtu výdajů určených na financování společných programů EU/FM a ČR. Jejich výše </w:t>
      </w:r>
      <w:r w:rsidR="00BF74CC">
        <w:t>140,4</w:t>
      </w:r>
      <w:r>
        <w:t xml:space="preserve"> mld. Kč znamenala meziroční růst o </w:t>
      </w:r>
      <w:r w:rsidR="00BF74CC">
        <w:t>15,2</w:t>
      </w:r>
      <w:r>
        <w:t xml:space="preserve"> mld. Kč, tj. o </w:t>
      </w:r>
      <w:r w:rsidR="00BF74CC">
        <w:t>12,1</w:t>
      </w:r>
      <w:r>
        <w:t xml:space="preserve"> % </w:t>
      </w:r>
      <w:r w:rsidR="00BF74CC">
        <w:t>a překročení rozpočtu po změnách o 5,8 mld. Kč</w:t>
      </w:r>
      <w:r w:rsidRPr="00DC1EB4">
        <w:t>.</w:t>
      </w:r>
      <w:r>
        <w:t xml:space="preserve"> </w:t>
      </w:r>
      <w:r w:rsidRPr="00C20BF3">
        <w:t xml:space="preserve">Je zjevné, že schopnost realizovat společné programy EU a ČR v rámci programového období 2014-2020 z meziročního hlediska </w:t>
      </w:r>
      <w:r>
        <w:t>v roce 201</w:t>
      </w:r>
      <w:r w:rsidR="0025310A">
        <w:t>9</w:t>
      </w:r>
      <w:r>
        <w:t xml:space="preserve"> </w:t>
      </w:r>
      <w:r w:rsidR="0025310A">
        <w:t xml:space="preserve">opět </w:t>
      </w:r>
      <w:r>
        <w:t>výrazně vzrostla</w:t>
      </w:r>
      <w:r w:rsidRPr="00C20BF3">
        <w:t>.</w:t>
      </w:r>
      <w:r w:rsidR="0025310A">
        <w:t xml:space="preserve"> </w:t>
      </w:r>
    </w:p>
    <w:p w:rsidR="00715BF4" w:rsidRPr="0048489A" w:rsidRDefault="00BF5AE2" w:rsidP="00367608">
      <w:pPr>
        <w:pStyle w:val="Zkladntext210"/>
        <w:spacing w:line="240" w:lineRule="auto"/>
        <w:ind w:firstLine="708"/>
      </w:pPr>
      <w:r>
        <w:t xml:space="preserve">Mimo to </w:t>
      </w:r>
      <w:r w:rsidR="00A7079E">
        <w:t>ovlivnily m</w:t>
      </w:r>
      <w:r w:rsidR="00A7079E" w:rsidRPr="0015744E">
        <w:t xml:space="preserve">eziroční růst </w:t>
      </w:r>
      <w:r w:rsidR="00A7079E">
        <w:t>výdajů zejména</w:t>
      </w:r>
      <w:r w:rsidR="00A7079E" w:rsidRPr="0015744E">
        <w:t xml:space="preserve"> sociální dávk</w:t>
      </w:r>
      <w:r w:rsidR="00A7079E">
        <w:t xml:space="preserve">y </w:t>
      </w:r>
      <w:r w:rsidR="00A7079E" w:rsidRPr="0015744E">
        <w:t xml:space="preserve">vyšší o </w:t>
      </w:r>
      <w:r w:rsidR="00BF74CC">
        <w:t>45,6</w:t>
      </w:r>
      <w:r w:rsidR="00A7079E" w:rsidRPr="0015744E">
        <w:t xml:space="preserve"> mld. Kč (zejména vliv vyšších výdajů na důchody), neinvestiční transfery veřejným rozpočtům územní úrovně vyšší o </w:t>
      </w:r>
      <w:r w:rsidR="00BF74CC">
        <w:t>26,5 </w:t>
      </w:r>
      <w:r w:rsidR="00A7079E" w:rsidRPr="0015744E">
        <w:t>mld. Kč (zejména vliv vyšších výdajů na platy v regionálním školství)</w:t>
      </w:r>
      <w:r w:rsidR="00F5198F">
        <w:t xml:space="preserve"> a</w:t>
      </w:r>
      <w:r w:rsidR="00A7079E" w:rsidRPr="0015744E">
        <w:t xml:space="preserve"> </w:t>
      </w:r>
      <w:r w:rsidR="00A7079E">
        <w:t>výdaje na platy na úrovni</w:t>
      </w:r>
      <w:r w:rsidR="00A7079E" w:rsidRPr="0015744E">
        <w:t xml:space="preserve"> organizačních složek státu vyšší o </w:t>
      </w:r>
      <w:r w:rsidR="00BF74CC">
        <w:t>9,6</w:t>
      </w:r>
      <w:r w:rsidR="00A7079E" w:rsidRPr="0015744E">
        <w:t xml:space="preserve"> mld. Kč.</w:t>
      </w:r>
      <w:r w:rsidR="00715BF4">
        <w:t xml:space="preserve"> </w:t>
      </w:r>
      <w:r w:rsidR="00715BF4" w:rsidRPr="001A6519">
        <w:t>Z</w:t>
      </w:r>
      <w:r w:rsidR="00715BF4">
        <w:t>výšená investiční aktivita</w:t>
      </w:r>
      <w:r w:rsidR="00715BF4" w:rsidRPr="001A6519">
        <w:t xml:space="preserve"> v</w:t>
      </w:r>
      <w:r w:rsidR="00C556F5">
        <w:t> druhé polovině</w:t>
      </w:r>
      <w:r w:rsidR="00715BF4" w:rsidRPr="001A6519">
        <w:t xml:space="preserve"> roku 201</w:t>
      </w:r>
      <w:r w:rsidR="00C556F5">
        <w:t>9</w:t>
      </w:r>
      <w:r w:rsidR="00715BF4" w:rsidRPr="001A6519">
        <w:t xml:space="preserve"> </w:t>
      </w:r>
      <w:r w:rsidR="00715BF4">
        <w:t xml:space="preserve">vedla k vysokému meziročnímu růstu kapitálových výdajů o </w:t>
      </w:r>
      <w:r w:rsidR="00BF74CC">
        <w:t>22,8</w:t>
      </w:r>
      <w:r w:rsidR="00715BF4">
        <w:t xml:space="preserve"> mld. Kč.</w:t>
      </w:r>
      <w:r w:rsidR="00F5198F">
        <w:t xml:space="preserve"> Na jejich růstu se podílely </w:t>
      </w:r>
      <w:r w:rsidR="00FE671D">
        <w:t>zejména</w:t>
      </w:r>
      <w:r w:rsidR="00F5198F">
        <w:t xml:space="preserve"> prostředky převedené Státnímu fondu dopravní infrastruktury a určené </w:t>
      </w:r>
      <w:r w:rsidR="00CB089D">
        <w:t>především</w:t>
      </w:r>
      <w:r w:rsidR="00C91496">
        <w:t xml:space="preserve"> </w:t>
      </w:r>
      <w:r w:rsidR="00F5198F">
        <w:t xml:space="preserve">na </w:t>
      </w:r>
      <w:r w:rsidR="00C91496">
        <w:t xml:space="preserve">financování </w:t>
      </w:r>
      <w:r w:rsidR="00F5198F">
        <w:t>výstavb</w:t>
      </w:r>
      <w:r w:rsidR="00C91496">
        <w:t>y</w:t>
      </w:r>
      <w:r w:rsidR="00F5198F">
        <w:t xml:space="preserve"> a modernizac</w:t>
      </w:r>
      <w:r w:rsidR="00C91496">
        <w:t>e</w:t>
      </w:r>
      <w:r w:rsidR="00F5198F">
        <w:t xml:space="preserve"> silnic</w:t>
      </w:r>
      <w:r w:rsidR="00C91496">
        <w:t>,</w:t>
      </w:r>
      <w:r w:rsidR="00F5198F">
        <w:t xml:space="preserve"> dálnic</w:t>
      </w:r>
      <w:r w:rsidR="00C91496">
        <w:t xml:space="preserve"> a železnic. Ze státního rozpočtu bylo </w:t>
      </w:r>
      <w:r w:rsidR="00FE671D">
        <w:t>tomuto fondu</w:t>
      </w:r>
      <w:r w:rsidR="00C91496">
        <w:t xml:space="preserve"> převedeno celk</w:t>
      </w:r>
      <w:r w:rsidR="00FE671D">
        <w:t xml:space="preserve">em </w:t>
      </w:r>
      <w:r w:rsidR="00BF74CC">
        <w:t>58,6</w:t>
      </w:r>
      <w:r w:rsidR="00C91496">
        <w:t xml:space="preserve"> mld. Kč</w:t>
      </w:r>
      <w:r w:rsidR="00FE671D">
        <w:t xml:space="preserve">, což bylo o </w:t>
      </w:r>
      <w:r w:rsidR="00BF74CC">
        <w:t>19,5</w:t>
      </w:r>
      <w:r w:rsidR="00FE671D">
        <w:t xml:space="preserve"> mld. Kč</w:t>
      </w:r>
      <w:r w:rsidR="00BF74CC">
        <w:t xml:space="preserve"> </w:t>
      </w:r>
      <w:r w:rsidR="00C91496">
        <w:t>více než v roce 2018.</w:t>
      </w:r>
    </w:p>
    <w:p w:rsidR="00CB089D" w:rsidRDefault="00CB089D" w:rsidP="00367608">
      <w:pPr>
        <w:spacing w:before="120" w:line="240" w:lineRule="auto"/>
        <w:ind w:firstLine="708"/>
        <w:rPr>
          <w:highlight w:val="yellow"/>
        </w:rPr>
      </w:pPr>
      <w:r w:rsidRPr="0048489A">
        <w:t xml:space="preserve">Největší objem prostředků v rámci běžných výdajů je každoročně vynakládán na </w:t>
      </w:r>
      <w:r w:rsidRPr="0048489A">
        <w:rPr>
          <w:b/>
        </w:rPr>
        <w:t>sociální dávky</w:t>
      </w:r>
      <w:r w:rsidRPr="0048489A">
        <w:t xml:space="preserve">. Ty dosáhly </w:t>
      </w:r>
      <w:r w:rsidR="00260092">
        <w:t>602,1</w:t>
      </w:r>
      <w:r w:rsidRPr="0048489A">
        <w:t xml:space="preserve"> mld. Kč, což představovalo meziroční růst o </w:t>
      </w:r>
      <w:r w:rsidR="00260092">
        <w:t>8,2</w:t>
      </w:r>
      <w:r w:rsidRPr="0048489A">
        <w:t xml:space="preserve"> %</w:t>
      </w:r>
      <w:r w:rsidR="00260092">
        <w:t xml:space="preserve"> a plnění rozpočtu po změnách na 99,9 %</w:t>
      </w:r>
      <w:r w:rsidRPr="0048489A">
        <w:t xml:space="preserve">. Podíl sociálních dávek na celkových výdajích činil </w:t>
      </w:r>
      <w:r w:rsidR="00260092">
        <w:t>38,8</w:t>
      </w:r>
      <w:r w:rsidRPr="0048489A">
        <w:t xml:space="preserve"> % (v roce 201</w:t>
      </w:r>
      <w:r>
        <w:t>8</w:t>
      </w:r>
      <w:r w:rsidRPr="0048489A">
        <w:t xml:space="preserve"> to bylo </w:t>
      </w:r>
      <w:r>
        <w:t>39,7</w:t>
      </w:r>
      <w:r w:rsidRPr="0048489A">
        <w:t xml:space="preserve"> %). Meziroční růst byl dán z velké části růstem výdajů na důchody o </w:t>
      </w:r>
      <w:r w:rsidR="00260092">
        <w:t>37,7</w:t>
      </w:r>
      <w:r>
        <w:t xml:space="preserve"> mld. Kč, tj. o </w:t>
      </w:r>
      <w:r w:rsidR="00260092">
        <w:t>8,7</w:t>
      </w:r>
      <w:r>
        <w:t> </w:t>
      </w:r>
      <w:r w:rsidRPr="0048489A">
        <w:t>%.</w:t>
      </w:r>
      <w:r>
        <w:t xml:space="preserve"> </w:t>
      </w:r>
      <w:r w:rsidR="00D559E4">
        <w:lastRenderedPageBreak/>
        <w:t>Výdaje na důchody r</w:t>
      </w:r>
      <w:r>
        <w:t>ostly</w:t>
      </w:r>
      <w:r w:rsidRPr="00CB089D">
        <w:t xml:space="preserve"> </w:t>
      </w:r>
      <w:r>
        <w:t>zejména</w:t>
      </w:r>
      <w:r w:rsidRPr="00CB089D">
        <w:t xml:space="preserve"> </w:t>
      </w:r>
      <w:r w:rsidR="00D559E4">
        <w:t>díky</w:t>
      </w:r>
      <w:r w:rsidRPr="00CB089D">
        <w:t xml:space="preserve"> zvýšení základní výměry důchodu z 9 % na 10 % průměrné mzdy a také procentní výměry důchodů o 1000 Kč u příjemců důchodů starších 85 let. Na růstu sociálních dávek se podílí i nemocenského meziročně vyšší o </w:t>
      </w:r>
      <w:r w:rsidR="00620169">
        <w:t>4,0</w:t>
      </w:r>
      <w:r w:rsidRPr="00CB089D">
        <w:t xml:space="preserve"> mld. Kč či příspěvek na péči vyšší o </w:t>
      </w:r>
      <w:r w:rsidR="00620169">
        <w:t>3,8</w:t>
      </w:r>
      <w:r w:rsidRPr="00CB089D">
        <w:t xml:space="preserve"> mld. Kč.</w:t>
      </w:r>
    </w:p>
    <w:p w:rsidR="00B0242D" w:rsidRPr="00D559E4" w:rsidRDefault="00C07E48" w:rsidP="00367608">
      <w:pPr>
        <w:spacing w:before="120" w:line="240" w:lineRule="auto"/>
        <w:ind w:firstLine="708"/>
      </w:pPr>
      <w:r w:rsidRPr="00D559E4">
        <w:rPr>
          <w:b/>
        </w:rPr>
        <w:t>N</w:t>
      </w:r>
      <w:r w:rsidR="00FA58AC" w:rsidRPr="00D559E4">
        <w:rPr>
          <w:b/>
        </w:rPr>
        <w:t>einvestiční transfery veřejným rozpočtům</w:t>
      </w:r>
      <w:r w:rsidR="00FA58AC" w:rsidRPr="00D559E4">
        <w:t xml:space="preserve"> </w:t>
      </w:r>
      <w:r w:rsidR="00FA58AC" w:rsidRPr="00D559E4">
        <w:rPr>
          <w:b/>
        </w:rPr>
        <w:t>územní úrovně</w:t>
      </w:r>
      <w:r w:rsidRPr="00D559E4">
        <w:rPr>
          <w:b/>
        </w:rPr>
        <w:t xml:space="preserve"> </w:t>
      </w:r>
      <w:r w:rsidRPr="00D559E4">
        <w:t xml:space="preserve">dosáhly </w:t>
      </w:r>
      <w:r w:rsidR="00A95FE0" w:rsidRPr="00D559E4">
        <w:t>18</w:t>
      </w:r>
      <w:r w:rsidR="00620169">
        <w:t>4,6</w:t>
      </w:r>
      <w:r w:rsidRPr="00D559E4">
        <w:t xml:space="preserve"> mld. Kč</w:t>
      </w:r>
      <w:r w:rsidR="00B636FC" w:rsidRPr="00D559E4">
        <w:t xml:space="preserve"> a meziročně </w:t>
      </w:r>
      <w:r w:rsidR="009E5687" w:rsidRPr="00D559E4">
        <w:t>vzrostly</w:t>
      </w:r>
      <w:r w:rsidR="00B636FC" w:rsidRPr="00D559E4">
        <w:t xml:space="preserve"> o </w:t>
      </w:r>
      <w:r w:rsidR="00A95FE0" w:rsidRPr="00D559E4">
        <w:t>2</w:t>
      </w:r>
      <w:r w:rsidR="00620169">
        <w:t>6,5</w:t>
      </w:r>
      <w:r w:rsidR="00B636FC" w:rsidRPr="00D559E4">
        <w:t xml:space="preserve"> mld. Kč</w:t>
      </w:r>
      <w:r w:rsidRPr="00D559E4">
        <w:t>.</w:t>
      </w:r>
      <w:r w:rsidR="00FA58AC" w:rsidRPr="00D559E4">
        <w:t xml:space="preserve"> </w:t>
      </w:r>
      <w:r w:rsidR="00D13AAD" w:rsidRPr="00D559E4">
        <w:t>Na j</w:t>
      </w:r>
      <w:r w:rsidR="00FA58AC" w:rsidRPr="00D559E4">
        <w:t xml:space="preserve">ejich </w:t>
      </w:r>
      <w:r w:rsidR="00D13AAD" w:rsidRPr="00D559E4">
        <w:t>výši</w:t>
      </w:r>
      <w:r w:rsidR="00FA58AC" w:rsidRPr="00D559E4">
        <w:t xml:space="preserve"> </w:t>
      </w:r>
      <w:r w:rsidR="001E2DFE" w:rsidRPr="00D559E4">
        <w:t xml:space="preserve">i růstu </w:t>
      </w:r>
      <w:r w:rsidR="00D13AAD" w:rsidRPr="00D559E4">
        <w:t xml:space="preserve">se podílely </w:t>
      </w:r>
      <w:r w:rsidR="00E1105A" w:rsidRPr="00D559E4">
        <w:t xml:space="preserve">především </w:t>
      </w:r>
      <w:r w:rsidR="00FA58AC" w:rsidRPr="00D559E4">
        <w:t>převody prostředků na přímé náklady škol zřizovaných obcemi a kraji</w:t>
      </w:r>
      <w:r w:rsidR="00FA58AC" w:rsidRPr="00D559E4">
        <w:rPr>
          <w:bCs/>
        </w:rPr>
        <w:t xml:space="preserve"> ve výši</w:t>
      </w:r>
      <w:r w:rsidR="00FA58AC" w:rsidRPr="00D559E4">
        <w:t xml:space="preserve"> </w:t>
      </w:r>
      <w:r w:rsidR="000D2442" w:rsidRPr="00D559E4">
        <w:t>1</w:t>
      </w:r>
      <w:r w:rsidR="00B414FC" w:rsidRPr="00D559E4">
        <w:t>34,2</w:t>
      </w:r>
      <w:r w:rsidRPr="00D559E4">
        <w:t> </w:t>
      </w:r>
      <w:r w:rsidR="00022724" w:rsidRPr="00D559E4">
        <w:t>mld. Kč</w:t>
      </w:r>
      <w:r w:rsidR="00974440" w:rsidRPr="00D559E4">
        <w:t>. Šlo</w:t>
      </w:r>
      <w:r w:rsidR="00022724" w:rsidRPr="00D559E4">
        <w:t xml:space="preserve"> o záloh</w:t>
      </w:r>
      <w:r w:rsidR="004C6216" w:rsidRPr="00D559E4">
        <w:t>y</w:t>
      </w:r>
      <w:r w:rsidR="00022724" w:rsidRPr="00D559E4">
        <w:t xml:space="preserve"> </w:t>
      </w:r>
      <w:r w:rsidR="00974440" w:rsidRPr="00D559E4">
        <w:t xml:space="preserve">regionálnímu školství </w:t>
      </w:r>
      <w:r w:rsidR="00620169">
        <w:t>na </w:t>
      </w:r>
      <w:r w:rsidR="00974440" w:rsidRPr="00D559E4">
        <w:t xml:space="preserve">ve výši </w:t>
      </w:r>
      <w:r w:rsidR="000D2442" w:rsidRPr="00D559E4">
        <w:t>1</w:t>
      </w:r>
      <w:r w:rsidR="00B414FC" w:rsidRPr="00D559E4">
        <w:t>27,4</w:t>
      </w:r>
      <w:r w:rsidRPr="00D559E4">
        <w:t xml:space="preserve"> mld. Kč (v </w:t>
      </w:r>
      <w:r w:rsidR="00D559E4" w:rsidRPr="00D559E4">
        <w:t>roce</w:t>
      </w:r>
      <w:r w:rsidR="00974440" w:rsidRPr="00D559E4">
        <w:t xml:space="preserve"> 201</w:t>
      </w:r>
      <w:r w:rsidR="00D31F13" w:rsidRPr="00D559E4">
        <w:t>8</w:t>
      </w:r>
      <w:r w:rsidR="00974440" w:rsidRPr="00D559E4">
        <w:t xml:space="preserve"> to bylo </w:t>
      </w:r>
      <w:r w:rsidR="00B414FC" w:rsidRPr="00D559E4">
        <w:t>109,8</w:t>
      </w:r>
      <w:r w:rsidR="00974440" w:rsidRPr="00D559E4">
        <w:t xml:space="preserve"> mld. Kč) a </w:t>
      </w:r>
      <w:r w:rsidR="00790F22" w:rsidRPr="00D559E4">
        <w:t xml:space="preserve">o </w:t>
      </w:r>
      <w:r w:rsidR="00974440" w:rsidRPr="00D559E4">
        <w:t>záloh</w:t>
      </w:r>
      <w:r w:rsidR="00790F22" w:rsidRPr="00D559E4">
        <w:t>y</w:t>
      </w:r>
      <w:r w:rsidR="00974440" w:rsidRPr="00D559E4">
        <w:t xml:space="preserve"> soukromému školství ve výši </w:t>
      </w:r>
      <w:r w:rsidR="00B414FC" w:rsidRPr="00D559E4">
        <w:t>6,8</w:t>
      </w:r>
      <w:r w:rsidR="00472D02" w:rsidRPr="00D559E4">
        <w:t xml:space="preserve"> mld. Kč (v </w:t>
      </w:r>
      <w:r w:rsidR="00D559E4" w:rsidRPr="00D559E4">
        <w:t>roce</w:t>
      </w:r>
      <w:r w:rsidR="00974440" w:rsidRPr="00D559E4">
        <w:t xml:space="preserve"> 201</w:t>
      </w:r>
      <w:r w:rsidR="00D31F13" w:rsidRPr="00D559E4">
        <w:t>8</w:t>
      </w:r>
      <w:r w:rsidR="00FE7353" w:rsidRPr="00D559E4">
        <w:t xml:space="preserve"> to bylo </w:t>
      </w:r>
      <w:r w:rsidR="00B414FC" w:rsidRPr="00D559E4">
        <w:t>5,9</w:t>
      </w:r>
      <w:r w:rsidR="00CA2AC7" w:rsidRPr="00D559E4">
        <w:t xml:space="preserve"> mld. Kč</w:t>
      </w:r>
      <w:r w:rsidR="00974440" w:rsidRPr="00D559E4">
        <w:t>)</w:t>
      </w:r>
      <w:r w:rsidR="00FA58AC" w:rsidRPr="00D559E4">
        <w:t>.</w:t>
      </w:r>
      <w:r w:rsidR="00A75F9E" w:rsidRPr="00D559E4">
        <w:t xml:space="preserve"> </w:t>
      </w:r>
      <w:r w:rsidR="001E2DFE" w:rsidRPr="00D559E4">
        <w:t>Mimo to</w:t>
      </w:r>
      <w:r w:rsidR="00AB746C" w:rsidRPr="00D559E4">
        <w:t xml:space="preserve"> byl</w:t>
      </w:r>
      <w:r w:rsidR="001E2DFE" w:rsidRPr="00D559E4">
        <w:t>a</w:t>
      </w:r>
      <w:r w:rsidR="00AB746C" w:rsidRPr="00D559E4">
        <w:t xml:space="preserve"> </w:t>
      </w:r>
      <w:r w:rsidR="001E2DFE" w:rsidRPr="00D559E4">
        <w:t xml:space="preserve">již </w:t>
      </w:r>
      <w:r w:rsidR="00AB746C" w:rsidRPr="00D559E4">
        <w:t xml:space="preserve">v průběhu ledna </w:t>
      </w:r>
      <w:r w:rsidR="00D559E4" w:rsidRPr="00D559E4">
        <w:t xml:space="preserve">roku 2019 </w:t>
      </w:r>
      <w:r w:rsidR="00AB746C" w:rsidRPr="00D559E4">
        <w:t>převeden</w:t>
      </w:r>
      <w:r w:rsidR="001E2DFE" w:rsidRPr="00D559E4">
        <w:t>a</w:t>
      </w:r>
      <w:r w:rsidR="00AB746C" w:rsidRPr="00D559E4">
        <w:t xml:space="preserve"> z Ministerstva školství</w:t>
      </w:r>
      <w:r w:rsidR="008210FE" w:rsidRPr="00D559E4">
        <w:t>, mládeže</w:t>
      </w:r>
      <w:r w:rsidR="00AB746C" w:rsidRPr="00D559E4">
        <w:t xml:space="preserve"> a tělovýchovy 1,1 mld. Kč, kter</w:t>
      </w:r>
      <w:r w:rsidR="001E2DFE" w:rsidRPr="00D559E4">
        <w:t>á</w:t>
      </w:r>
      <w:r w:rsidR="00AB746C" w:rsidRPr="00D559E4">
        <w:t xml:space="preserve"> směřoval</w:t>
      </w:r>
      <w:r w:rsidR="001E2DFE" w:rsidRPr="00D559E4">
        <w:t>a</w:t>
      </w:r>
      <w:r w:rsidR="00AB746C" w:rsidRPr="00D559E4">
        <w:t xml:space="preserve"> na rozvojový program „Částečné vyrovnání mezikrajových rozdílů v odměňování pedagogických pracovníků mateřských, základních a středních škol, k</w:t>
      </w:r>
      <w:r w:rsidR="00D50EAC" w:rsidRPr="00D559E4">
        <w:t>onzervatoří a školních družin v </w:t>
      </w:r>
      <w:r w:rsidR="00AB746C" w:rsidRPr="00D559E4">
        <w:t>roce 2019“. S platností od 1.1.2019 se </w:t>
      </w:r>
      <w:r w:rsidR="00D559E4" w:rsidRPr="00D559E4">
        <w:t xml:space="preserve">tak </w:t>
      </w:r>
      <w:r w:rsidR="00A97EBD" w:rsidRPr="00D559E4">
        <w:t>v</w:t>
      </w:r>
      <w:r w:rsidR="00EF3F91" w:rsidRPr="00D559E4">
        <w:t> </w:t>
      </w:r>
      <w:r w:rsidR="007E4407" w:rsidRPr="00D559E4">
        <w:t>meziročním nárůstu promít</w:t>
      </w:r>
      <w:r w:rsidR="00D559E4" w:rsidRPr="00D559E4">
        <w:t>lo</w:t>
      </w:r>
      <w:r w:rsidR="007E4407" w:rsidRPr="00D559E4">
        <w:t xml:space="preserve"> </w:t>
      </w:r>
      <w:r w:rsidR="00A97EBD" w:rsidRPr="00D559E4">
        <w:t>navýšení objemu prostředků na platy v regionálním školství</w:t>
      </w:r>
      <w:r w:rsidR="00086417" w:rsidRPr="00D559E4">
        <w:t>, a to</w:t>
      </w:r>
      <w:r w:rsidR="00A97EBD" w:rsidRPr="00D559E4">
        <w:t xml:space="preserve"> </w:t>
      </w:r>
      <w:r w:rsidR="00AB746C" w:rsidRPr="00D559E4">
        <w:t>o </w:t>
      </w:r>
      <w:r w:rsidR="00D559E4" w:rsidRPr="00D559E4">
        <w:t>15 </w:t>
      </w:r>
      <w:r w:rsidR="009A172D" w:rsidRPr="00D559E4">
        <w:t xml:space="preserve">% </w:t>
      </w:r>
      <w:r w:rsidR="00A97EBD" w:rsidRPr="00D559E4">
        <w:t xml:space="preserve">u pedagogických pracovníků a </w:t>
      </w:r>
      <w:r w:rsidR="009A172D" w:rsidRPr="00D559E4">
        <w:t xml:space="preserve">o 10 % </w:t>
      </w:r>
      <w:r w:rsidR="00A97EBD" w:rsidRPr="00D559E4">
        <w:t>u nepedagogických pracovníků.</w:t>
      </w:r>
      <w:r w:rsidR="00AC4BE4" w:rsidRPr="00D559E4">
        <w:t xml:space="preserve"> </w:t>
      </w:r>
    </w:p>
    <w:p w:rsidR="007E4407" w:rsidRPr="00D559E4" w:rsidRDefault="00D44D9C" w:rsidP="00367608">
      <w:pPr>
        <w:spacing w:before="120" w:line="240" w:lineRule="auto"/>
        <w:ind w:firstLine="708"/>
      </w:pPr>
      <w:r w:rsidRPr="00D559E4">
        <w:t xml:space="preserve">Transfery podle zákona o sociálních službách, které jsou z velké části převáděny do rozpočtů územních samosprávných celků, dosáhly </w:t>
      </w:r>
      <w:r w:rsidR="00B174E2" w:rsidRPr="00D559E4">
        <w:t>16,8</w:t>
      </w:r>
      <w:r w:rsidRPr="00D559E4">
        <w:t xml:space="preserve"> mld. Kč, což představovalo meziroční růst o </w:t>
      </w:r>
      <w:r w:rsidR="00B174E2" w:rsidRPr="00D559E4">
        <w:t>téměř 2</w:t>
      </w:r>
      <w:r w:rsidRPr="00D559E4">
        <w:t> </w:t>
      </w:r>
      <w:r w:rsidR="009A7237" w:rsidRPr="00D559E4">
        <w:t>mld. Kč</w:t>
      </w:r>
      <w:r w:rsidR="00B0242D" w:rsidRPr="00D559E4">
        <w:t>.</w:t>
      </w:r>
    </w:p>
    <w:p w:rsidR="00485BDD" w:rsidRPr="001A6519" w:rsidRDefault="00485BDD" w:rsidP="00367608">
      <w:pPr>
        <w:spacing w:before="120" w:line="240" w:lineRule="auto"/>
        <w:ind w:firstLine="708"/>
      </w:pPr>
      <w:r w:rsidRPr="007A4C01">
        <w:rPr>
          <w:b/>
        </w:rPr>
        <w:t>Pojistné na veřejné zdravotní pojištění</w:t>
      </w:r>
      <w:r w:rsidRPr="007A4C01">
        <w:t xml:space="preserve"> (platba státu za tzv. státní pojištěnce) ve výši </w:t>
      </w:r>
      <w:r>
        <w:t>71,9</w:t>
      </w:r>
      <w:r w:rsidRPr="007A4C01">
        <w:t xml:space="preserve"> mld. Kč znamenalo meziroční růst o </w:t>
      </w:r>
      <w:r>
        <w:t>3,5</w:t>
      </w:r>
      <w:r w:rsidRPr="007A4C01">
        <w:t xml:space="preserve"> mld. Kč, tj. o </w:t>
      </w:r>
      <w:r>
        <w:t>5,1</w:t>
      </w:r>
      <w:r w:rsidRPr="007A4C01">
        <w:t xml:space="preserve"> %. Předpokládaný růst těchto výdajů proti skutečnosti roku 201</w:t>
      </w:r>
      <w:r>
        <w:t>8</w:t>
      </w:r>
      <w:r w:rsidRPr="007A4C01">
        <w:t xml:space="preserve"> o 7,</w:t>
      </w:r>
      <w:r>
        <w:t>3</w:t>
      </w:r>
      <w:r w:rsidRPr="007A4C01">
        <w:t xml:space="preserve"> % vycházel zejména ze zvýšení plateb z 9</w:t>
      </w:r>
      <w:r>
        <w:t>69</w:t>
      </w:r>
      <w:r w:rsidRPr="007A4C01">
        <w:t xml:space="preserve"> Kč na </w:t>
      </w:r>
      <w:r>
        <w:t>1 018</w:t>
      </w:r>
      <w:r w:rsidRPr="007A4C01">
        <w:t xml:space="preserve"> Kč za měsíc a pojištěnce s platností od 1.1.201</w:t>
      </w:r>
      <w:r>
        <w:t>9</w:t>
      </w:r>
      <w:r w:rsidRPr="007A4C01">
        <w:t xml:space="preserve"> (od počátku roku 20</w:t>
      </w:r>
      <w:r>
        <w:t>20</w:t>
      </w:r>
      <w:r w:rsidRPr="007A4C01">
        <w:t xml:space="preserve"> se platba zvyšuje na </w:t>
      </w:r>
      <w:r>
        <w:t>1 067</w:t>
      </w:r>
      <w:r w:rsidRPr="007A4C01">
        <w:t xml:space="preserve"> Kč/měsíc).</w:t>
      </w:r>
      <w:r>
        <w:t xml:space="preserve"> </w:t>
      </w:r>
      <w:r w:rsidRPr="001A6519">
        <w:t xml:space="preserve">Příznivý vývoj v oblasti nezaměstnanosti vedl k úspoře proti schválenému rozpočtu ve výši </w:t>
      </w:r>
      <w:r>
        <w:t>1,5</w:t>
      </w:r>
      <w:r w:rsidRPr="001A6519">
        <w:t xml:space="preserve"> mld. Kč.</w:t>
      </w:r>
    </w:p>
    <w:p w:rsidR="008A59FF" w:rsidRDefault="00485BDD" w:rsidP="00367608">
      <w:pPr>
        <w:spacing w:before="120" w:line="240" w:lineRule="auto"/>
        <w:ind w:firstLine="708"/>
      </w:pPr>
      <w:r w:rsidRPr="007A4C01">
        <w:rPr>
          <w:b/>
        </w:rPr>
        <w:t xml:space="preserve">Kapitálové výdaje </w:t>
      </w:r>
      <w:r w:rsidRPr="007A4C01">
        <w:t xml:space="preserve">dosáhly </w:t>
      </w:r>
      <w:r w:rsidR="00620169">
        <w:t>139,3</w:t>
      </w:r>
      <w:r w:rsidRPr="007A4C01">
        <w:t xml:space="preserve"> mld. Kč, což představovalo </w:t>
      </w:r>
      <w:r w:rsidR="00620169">
        <w:t xml:space="preserve">102,1 </w:t>
      </w:r>
      <w:r w:rsidRPr="007A4C01">
        <w:t xml:space="preserve">% rozpočtu po změnách </w:t>
      </w:r>
      <w:r>
        <w:t>(překročení o </w:t>
      </w:r>
      <w:r w:rsidR="00620169">
        <w:t>2,9</w:t>
      </w:r>
      <w:r>
        <w:t xml:space="preserve"> mld. Kč) </w:t>
      </w:r>
      <w:r w:rsidRPr="007A4C01">
        <w:t xml:space="preserve">a výrazný meziroční růst o </w:t>
      </w:r>
      <w:r w:rsidR="00620169">
        <w:t>22,8</w:t>
      </w:r>
      <w:r w:rsidRPr="007A4C01">
        <w:t xml:space="preserve"> mld. Kč, tj. o </w:t>
      </w:r>
      <w:r w:rsidR="00620169">
        <w:t>19,6</w:t>
      </w:r>
      <w:r>
        <w:t> </w:t>
      </w:r>
      <w:r w:rsidRPr="007A4C01">
        <w:t xml:space="preserve">%. </w:t>
      </w:r>
      <w:r w:rsidRPr="00142C6A">
        <w:t>Z </w:t>
      </w:r>
      <w:r>
        <w:t>celkové</w:t>
      </w:r>
      <w:r w:rsidRPr="00142C6A">
        <w:t xml:space="preserve"> částky </w:t>
      </w:r>
      <w:r w:rsidR="008A59FF">
        <w:t>směřovalo</w:t>
      </w:r>
      <w:r w:rsidRPr="00142C6A">
        <w:t xml:space="preserve"> </w:t>
      </w:r>
      <w:r w:rsidR="008A59FF">
        <w:t>70,8 mld. Kč na i</w:t>
      </w:r>
      <w:r w:rsidR="008A59FF" w:rsidRPr="00922B3B">
        <w:t>nvestice realizované bez účasti prostředků EU a FM</w:t>
      </w:r>
      <w:r w:rsidR="008A59FF">
        <w:t>. Tyto prostředky meziročně vzrostly výrazně o 17,4</w:t>
      </w:r>
      <w:r w:rsidR="008A59FF" w:rsidRPr="00922B3B">
        <w:t xml:space="preserve"> mld. Kč</w:t>
      </w:r>
      <w:r w:rsidR="008A59FF">
        <w:t>, tj. o 32,7 %.</w:t>
      </w:r>
      <w:r w:rsidR="008A59FF" w:rsidRPr="00922B3B">
        <w:t xml:space="preserve"> </w:t>
      </w:r>
      <w:r w:rsidR="008A59FF">
        <w:t>N</w:t>
      </w:r>
      <w:r w:rsidR="008A59FF" w:rsidRPr="00142C6A">
        <w:t>a financování společných programů EU a ČR (vč. SZP)</w:t>
      </w:r>
      <w:r w:rsidR="008A59FF">
        <w:t xml:space="preserve"> směřovalo 68,5 mld. Kč</w:t>
      </w:r>
      <w:r w:rsidR="008A59FF" w:rsidRPr="00142C6A">
        <w:t xml:space="preserve">, což </w:t>
      </w:r>
      <w:r w:rsidR="008A59FF">
        <w:t xml:space="preserve">představovalo </w:t>
      </w:r>
      <w:r w:rsidR="008A59FF" w:rsidRPr="00922B3B">
        <w:t>meziroční růst o </w:t>
      </w:r>
      <w:r w:rsidR="008A59FF">
        <w:t>5,4</w:t>
      </w:r>
      <w:r w:rsidR="008A59FF" w:rsidRPr="00922B3B">
        <w:t> mld. Kč</w:t>
      </w:r>
      <w:r w:rsidR="008A59FF">
        <w:t>, tj. o 8,5 %.</w:t>
      </w:r>
    </w:p>
    <w:p w:rsidR="004C2103" w:rsidRDefault="004C2103" w:rsidP="00367608">
      <w:pPr>
        <w:spacing w:before="120" w:line="240" w:lineRule="auto"/>
        <w:ind w:firstLine="708"/>
      </w:pPr>
      <w:r w:rsidRPr="00922B3B">
        <w:t>Prostřednictvím nároků z nespotřebova</w:t>
      </w:r>
      <w:r>
        <w:t>ných výdajů minulých let bylo</w:t>
      </w:r>
      <w:r w:rsidRPr="00922B3B">
        <w:t xml:space="preserve"> </w:t>
      </w:r>
      <w:r>
        <w:t>realizováno</w:t>
      </w:r>
      <w:r w:rsidRPr="00922B3B">
        <w:t xml:space="preserve"> </w:t>
      </w:r>
      <w:r w:rsidR="00107C81">
        <w:t>36,4</w:t>
      </w:r>
      <w:r w:rsidRPr="00922B3B">
        <w:t xml:space="preserve"> mld. Kč</w:t>
      </w:r>
      <w:r>
        <w:t xml:space="preserve"> </w:t>
      </w:r>
      <w:r w:rsidRPr="00922B3B">
        <w:t>kapitálových výdajů.</w:t>
      </w:r>
    </w:p>
    <w:p w:rsidR="002F412C" w:rsidRPr="009352B9" w:rsidRDefault="002F412C" w:rsidP="0063033C">
      <w:pPr>
        <w:spacing w:before="120" w:line="240" w:lineRule="auto"/>
        <w:rPr>
          <w:b/>
        </w:rPr>
      </w:pPr>
      <w:r w:rsidRPr="009352B9">
        <w:rPr>
          <w:b/>
        </w:rPr>
        <w:t>Saldo státního rozpočtu</w:t>
      </w:r>
    </w:p>
    <w:p w:rsidR="009352B9" w:rsidRPr="009B470D" w:rsidRDefault="009352B9" w:rsidP="00367608">
      <w:pPr>
        <w:spacing w:before="120" w:line="240" w:lineRule="auto"/>
        <w:ind w:firstLine="708"/>
      </w:pPr>
      <w:r w:rsidRPr="009B470D">
        <w:rPr>
          <w:b/>
          <w:bCs/>
        </w:rPr>
        <w:t xml:space="preserve">Hospodaření </w:t>
      </w:r>
      <w:r w:rsidRPr="009B470D">
        <w:rPr>
          <w:b/>
        </w:rPr>
        <w:t>státního rozpočtu</w:t>
      </w:r>
      <w:r w:rsidRPr="009B470D">
        <w:t xml:space="preserve"> skončilo v roce 201</w:t>
      </w:r>
      <w:r>
        <w:t>9</w:t>
      </w:r>
      <w:r w:rsidRPr="009B470D">
        <w:t xml:space="preserve"> </w:t>
      </w:r>
      <w:r>
        <w:rPr>
          <w:b/>
        </w:rPr>
        <w:t>schodkem</w:t>
      </w:r>
      <w:r w:rsidRPr="009B470D">
        <w:rPr>
          <w:b/>
        </w:rPr>
        <w:t xml:space="preserve"> </w:t>
      </w:r>
      <w:r w:rsidR="00107C81">
        <w:rPr>
          <w:b/>
        </w:rPr>
        <w:t>28,5</w:t>
      </w:r>
      <w:r w:rsidRPr="009B470D">
        <w:rPr>
          <w:b/>
        </w:rPr>
        <w:t xml:space="preserve"> </w:t>
      </w:r>
      <w:r w:rsidRPr="009B470D">
        <w:rPr>
          <w:b/>
          <w:bCs/>
        </w:rPr>
        <w:t>mld. Kč</w:t>
      </w:r>
      <w:r w:rsidRPr="009B470D">
        <w:rPr>
          <w:bCs/>
        </w:rPr>
        <w:t>,</w:t>
      </w:r>
      <w:r w:rsidRPr="009B470D">
        <w:rPr>
          <w:b/>
          <w:bCs/>
        </w:rPr>
        <w:t xml:space="preserve"> </w:t>
      </w:r>
      <w:r w:rsidRPr="009B470D">
        <w:rPr>
          <w:bCs/>
        </w:rPr>
        <w:t>což je</w:t>
      </w:r>
      <w:r w:rsidRPr="009B470D">
        <w:t xml:space="preserve"> proti </w:t>
      </w:r>
      <w:r>
        <w:t>roku</w:t>
      </w:r>
      <w:r w:rsidRPr="009B470D">
        <w:t xml:space="preserve"> 201</w:t>
      </w:r>
      <w:r>
        <w:t>8</w:t>
      </w:r>
      <w:r w:rsidRPr="009B470D">
        <w:t xml:space="preserve"> výsledek </w:t>
      </w:r>
      <w:r>
        <w:t>horší</w:t>
      </w:r>
      <w:r w:rsidRPr="009B470D">
        <w:rPr>
          <w:b/>
        </w:rPr>
        <w:t xml:space="preserve"> o </w:t>
      </w:r>
      <w:r w:rsidR="00107C81">
        <w:rPr>
          <w:b/>
        </w:rPr>
        <w:t>31,5</w:t>
      </w:r>
      <w:r w:rsidRPr="009B470D">
        <w:rPr>
          <w:b/>
        </w:rPr>
        <w:t> mld. Kč</w:t>
      </w:r>
      <w:r w:rsidRPr="009B470D">
        <w:t xml:space="preserve">. Při očištění hospodaření státního rozpočtu o toky EU a FM prostředků jak na příjmové, tak výdajové straně by saldo představovalo meziročně horší výsledek o </w:t>
      </w:r>
      <w:r w:rsidR="00107C81">
        <w:t>24,2</w:t>
      </w:r>
      <w:r w:rsidRPr="009B470D">
        <w:t xml:space="preserve"> mld. Kč. </w:t>
      </w:r>
    </w:p>
    <w:p w:rsidR="008C1AEA" w:rsidRPr="00310EA7" w:rsidRDefault="00B9463A" w:rsidP="00410F12">
      <w:pPr>
        <w:spacing w:before="120" w:line="240" w:lineRule="auto"/>
        <w:rPr>
          <w:highlight w:val="yellow"/>
        </w:rPr>
      </w:pPr>
      <w:r w:rsidRPr="00B9463A">
        <w:rPr>
          <w:noProof/>
        </w:rPr>
        <w:drawing>
          <wp:inline distT="0" distB="0" distL="0" distR="0" wp14:anchorId="07013987" wp14:editId="550896C8">
            <wp:extent cx="6301105" cy="356911"/>
            <wp:effectExtent l="0" t="0" r="4445" b="5080"/>
            <wp:docPr id="10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1105" cy="3569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0F12" w:rsidRPr="00310EA7" w:rsidRDefault="00B9463A" w:rsidP="0063033C">
      <w:pPr>
        <w:spacing w:before="120" w:line="240" w:lineRule="auto"/>
        <w:rPr>
          <w:highlight w:val="yellow"/>
        </w:rPr>
      </w:pPr>
      <w:r>
        <w:rPr>
          <w:noProof/>
        </w:rPr>
        <w:lastRenderedPageBreak/>
        <w:drawing>
          <wp:inline distT="0" distB="0" distL="0" distR="0" wp14:anchorId="509CF8E9" wp14:editId="2B4795A5">
            <wp:extent cx="5972810" cy="2566670"/>
            <wp:effectExtent l="0" t="0" r="8890" b="5080"/>
            <wp:docPr id="1" name="Graf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E0257E" w:rsidRPr="00171A25" w:rsidRDefault="00C07E48" w:rsidP="00882A7D">
      <w:pPr>
        <w:pStyle w:val="xl27"/>
        <w:pBdr>
          <w:left w:val="none" w:sz="0" w:space="0" w:color="auto"/>
          <w:right w:val="none" w:sz="0" w:space="0" w:color="auto"/>
        </w:pBdr>
        <w:spacing w:before="0" w:after="0"/>
        <w:jc w:val="both"/>
      </w:pPr>
      <w:r w:rsidRPr="00171A25">
        <w:t>Podrobnější výsledky hospodaření státního rozpočtu za</w:t>
      </w:r>
      <w:r w:rsidR="00171A25" w:rsidRPr="00171A25">
        <w:t xml:space="preserve"> rok</w:t>
      </w:r>
      <w:r w:rsidR="00410F12" w:rsidRPr="00171A25">
        <w:t xml:space="preserve"> </w:t>
      </w:r>
      <w:r w:rsidRPr="00171A25">
        <w:t>201</w:t>
      </w:r>
      <w:r w:rsidR="00497412" w:rsidRPr="00171A25">
        <w:t>9</w:t>
      </w:r>
      <w:r w:rsidRPr="00171A25">
        <w:t xml:space="preserve"> jsou </w:t>
      </w:r>
      <w:r w:rsidR="00654993" w:rsidRPr="00171A25">
        <w:t>patrny z</w:t>
      </w:r>
      <w:r w:rsidRPr="00171A25">
        <w:t> tabulkové přílo</w:t>
      </w:r>
      <w:r w:rsidR="00654993" w:rsidRPr="00171A25">
        <w:t>hy</w:t>
      </w:r>
      <w:r w:rsidRPr="00171A25">
        <w:t xml:space="preserve">. </w:t>
      </w:r>
    </w:p>
    <w:p w:rsidR="001E2DFE" w:rsidRPr="00171A25" w:rsidRDefault="001E2DFE">
      <w:pPr>
        <w:pStyle w:val="xl27"/>
        <w:pBdr>
          <w:left w:val="none" w:sz="0" w:space="0" w:color="auto"/>
          <w:right w:val="none" w:sz="0" w:space="0" w:color="auto"/>
        </w:pBdr>
        <w:spacing w:before="0" w:after="0" w:line="360" w:lineRule="atLeast"/>
      </w:pPr>
    </w:p>
    <w:p w:rsidR="00FA58AC" w:rsidRPr="00B9463A" w:rsidRDefault="00FA58AC" w:rsidP="00F06CB0">
      <w:pPr>
        <w:spacing w:before="60" w:line="240" w:lineRule="auto"/>
        <w:rPr>
          <w:b/>
          <w:bCs/>
        </w:rPr>
      </w:pPr>
      <w:r w:rsidRPr="00310EA7">
        <w:rPr>
          <w:highlight w:val="yellow"/>
        </w:rPr>
        <w:br w:type="page"/>
      </w:r>
      <w:r w:rsidR="00C07E48" w:rsidRPr="00B9463A">
        <w:rPr>
          <w:b/>
        </w:rPr>
        <w:lastRenderedPageBreak/>
        <w:t>Tabulková příloha:</w:t>
      </w:r>
    </w:p>
    <w:p w:rsidR="0026770F" w:rsidRPr="00B9463A" w:rsidRDefault="0026770F">
      <w:pPr>
        <w:spacing w:line="240" w:lineRule="auto"/>
        <w:rPr>
          <w:b/>
        </w:rPr>
      </w:pPr>
    </w:p>
    <w:p w:rsidR="00FA58AC" w:rsidRPr="00B9463A" w:rsidRDefault="0026770F">
      <w:pPr>
        <w:spacing w:line="240" w:lineRule="auto"/>
        <w:rPr>
          <w:b/>
        </w:rPr>
      </w:pPr>
      <w:r w:rsidRPr="00B9463A">
        <w:rPr>
          <w:b/>
        </w:rPr>
        <w:t xml:space="preserve">Tabulka č. 1: Plnění příjmů </w:t>
      </w:r>
      <w:r w:rsidR="00FA58AC" w:rsidRPr="00B9463A">
        <w:rPr>
          <w:b/>
        </w:rPr>
        <w:t>státního rozpočtu</w:t>
      </w:r>
      <w:r w:rsidRPr="00B9463A">
        <w:rPr>
          <w:b/>
        </w:rPr>
        <w:t xml:space="preserve"> (v mld. Kč)</w:t>
      </w:r>
    </w:p>
    <w:p w:rsidR="00FA58AC" w:rsidRPr="00310EA7" w:rsidRDefault="00B9463A">
      <w:pPr>
        <w:spacing w:line="240" w:lineRule="auto"/>
        <w:rPr>
          <w:b/>
          <w:highlight w:val="yellow"/>
        </w:rPr>
      </w:pPr>
      <w:r w:rsidRPr="00B9463A">
        <w:rPr>
          <w:noProof/>
        </w:rPr>
        <w:drawing>
          <wp:inline distT="0" distB="0" distL="0" distR="0" wp14:anchorId="14D106A8" wp14:editId="31F90D3C">
            <wp:extent cx="6301105" cy="4961175"/>
            <wp:effectExtent l="0" t="0" r="4445" b="0"/>
            <wp:docPr id="11" name="Obráze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1105" cy="496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58AC" w:rsidRPr="00310EA7" w:rsidRDefault="00FA58AC">
      <w:pPr>
        <w:spacing w:line="240" w:lineRule="auto"/>
        <w:rPr>
          <w:highlight w:val="yellow"/>
        </w:rPr>
      </w:pPr>
    </w:p>
    <w:p w:rsidR="00505889" w:rsidRPr="00C825BD" w:rsidRDefault="0026770F" w:rsidP="00B2468E">
      <w:pPr>
        <w:keepNext/>
        <w:spacing w:line="240" w:lineRule="auto"/>
        <w:rPr>
          <w:b/>
        </w:rPr>
      </w:pPr>
      <w:r w:rsidRPr="00C825BD">
        <w:rPr>
          <w:b/>
        </w:rPr>
        <w:lastRenderedPageBreak/>
        <w:t xml:space="preserve">Tabulka č. 2: </w:t>
      </w:r>
      <w:r w:rsidR="00505889" w:rsidRPr="00C825BD">
        <w:rPr>
          <w:b/>
        </w:rPr>
        <w:t>Meziroční srovnání celostátních daňových příjmů</w:t>
      </w:r>
      <w:r w:rsidRPr="00C825BD">
        <w:rPr>
          <w:b/>
        </w:rPr>
        <w:t xml:space="preserve"> (v mld. Kč)</w:t>
      </w:r>
    </w:p>
    <w:p w:rsidR="00FA58AC" w:rsidRPr="00310EA7" w:rsidRDefault="00C825BD" w:rsidP="004104C5">
      <w:pPr>
        <w:keepNext/>
        <w:spacing w:line="360" w:lineRule="atLeast"/>
        <w:rPr>
          <w:highlight w:val="yellow"/>
        </w:rPr>
      </w:pPr>
      <w:r w:rsidRPr="00C825BD">
        <w:rPr>
          <w:noProof/>
        </w:rPr>
        <w:drawing>
          <wp:inline distT="0" distB="0" distL="0" distR="0" wp14:anchorId="390CD018" wp14:editId="3B97F9CB">
            <wp:extent cx="6301105" cy="2495934"/>
            <wp:effectExtent l="0" t="0" r="4445" b="0"/>
            <wp:docPr id="17" name="Obráze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1105" cy="24959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40CE" w:rsidRPr="00C825BD" w:rsidRDefault="003140CE" w:rsidP="00916FCA">
      <w:pPr>
        <w:keepNext/>
        <w:spacing w:line="240" w:lineRule="auto"/>
        <w:rPr>
          <w:i/>
          <w:sz w:val="14"/>
          <w:szCs w:val="14"/>
        </w:rPr>
      </w:pPr>
      <w:r w:rsidRPr="00C825BD">
        <w:rPr>
          <w:i/>
          <w:sz w:val="14"/>
          <w:szCs w:val="14"/>
        </w:rPr>
        <w:t>*) v celost.daních v roce 2017 není zahrn.DPPO za obce a kraje (rozpočet 6,9 mld. Kč) a dále správní a místní poplatky obcím (7,9 mld. Kč), popl.za znečišť.ŽP (2,8 mld Kč) a daň z hazard.her také obcím (4,9 mld. Kč)-ve skut. je lze sledovat pouze v účetnictví</w:t>
      </w:r>
    </w:p>
    <w:p w:rsidR="003140CE" w:rsidRPr="00C825BD" w:rsidRDefault="003140CE" w:rsidP="003140CE">
      <w:pPr>
        <w:spacing w:line="240" w:lineRule="auto"/>
        <w:rPr>
          <w:i/>
          <w:sz w:val="14"/>
          <w:szCs w:val="14"/>
        </w:rPr>
      </w:pPr>
      <w:r w:rsidRPr="00C825BD">
        <w:rPr>
          <w:i/>
          <w:sz w:val="14"/>
          <w:szCs w:val="14"/>
        </w:rPr>
        <w:t>**) v celost.daních v roce 2018 není zahrn.DPPO za obce a kraje (rozpočet 6,7 mld. Kč) a dále správní a místní poplatky obcím (8,1 mld. Kč), popl.za znečišť.ŽP obcím (2,8 mld Kč) a daň z hazard.her obcím (5,4 mld. Kč)-ve skut. je lze sledovat pouze v účetnictví</w:t>
      </w:r>
    </w:p>
    <w:p w:rsidR="003140CE" w:rsidRPr="00C825BD" w:rsidRDefault="003140CE" w:rsidP="003140CE">
      <w:pPr>
        <w:spacing w:line="240" w:lineRule="auto"/>
        <w:rPr>
          <w:i/>
          <w:sz w:val="14"/>
          <w:szCs w:val="14"/>
        </w:rPr>
      </w:pPr>
      <w:r w:rsidRPr="00C825BD">
        <w:rPr>
          <w:i/>
          <w:sz w:val="14"/>
          <w:szCs w:val="14"/>
        </w:rPr>
        <w:t>***) v celost.daních v roce 2019 není zahrn.DPPO za obce a kraje (rozpočet 6,7 mld. Kč) a dále správní a místní poplatky obcím (8,9 mld. Kč), popl.za znečišť.ŽP obcím a krajům (3,2 mld Kč) a daň z hazard.her obcím (5,0 mld. Kč)-ve skut. je lze sledovat pouze v účetnictví</w:t>
      </w:r>
    </w:p>
    <w:p w:rsidR="003140CE" w:rsidRPr="00C825BD" w:rsidRDefault="003140CE" w:rsidP="003140CE">
      <w:pPr>
        <w:spacing w:line="240" w:lineRule="auto"/>
        <w:rPr>
          <w:i/>
          <w:sz w:val="14"/>
          <w:szCs w:val="14"/>
        </w:rPr>
      </w:pPr>
      <w:r w:rsidRPr="00C825BD">
        <w:rPr>
          <w:i/>
          <w:sz w:val="14"/>
          <w:szCs w:val="14"/>
        </w:rPr>
        <w:t>****) údaj skutečnosti za uvedené roky odpovídá stavu inkasa za minulý měsíc (od roku 2012 nemá MF možnost sledovat každodenní pohyb inkasa z dálničních poplatků)</w:t>
      </w:r>
    </w:p>
    <w:p w:rsidR="00BD4F0D" w:rsidRPr="00310EA7" w:rsidRDefault="00B144F8" w:rsidP="003140CE">
      <w:pPr>
        <w:spacing w:line="240" w:lineRule="auto"/>
        <w:rPr>
          <w:i/>
          <w:sz w:val="14"/>
          <w:szCs w:val="14"/>
          <w:highlight w:val="yellow"/>
        </w:rPr>
      </w:pPr>
      <w:r w:rsidRPr="00C825BD">
        <w:rPr>
          <w:i/>
          <w:sz w:val="14"/>
          <w:szCs w:val="14"/>
        </w:rPr>
        <w:t xml:space="preserve">*****) </w:t>
      </w:r>
      <w:r w:rsidR="00C825BD" w:rsidRPr="00C825BD">
        <w:rPr>
          <w:i/>
          <w:sz w:val="14"/>
          <w:szCs w:val="14"/>
        </w:rPr>
        <w:t>v souvislosti se zavedením nového způsobu přerozdělování dle PCG se jedná pouze o vybrané pojistné za období od 1.1.2019 do 30.11.2019. V roce 2018 se jedná o výběr od 1.1.2018 do 30.11.2018. V roce 2017 je údaj výběrem za období od 18.12.2016 do 17.11.2017. Nezahrnuje platbu za tzv. státní pojištěnce a nejedná se o příjem SR.</w:t>
      </w:r>
    </w:p>
    <w:p w:rsidR="0026770F" w:rsidRPr="00B9463A" w:rsidRDefault="0026770F" w:rsidP="00BD4F0D">
      <w:pPr>
        <w:spacing w:before="120" w:line="240" w:lineRule="auto"/>
        <w:rPr>
          <w:b/>
        </w:rPr>
      </w:pPr>
      <w:r w:rsidRPr="00B9463A">
        <w:rPr>
          <w:b/>
        </w:rPr>
        <w:t>Tabulka č. 3: Č</w:t>
      </w:r>
      <w:r w:rsidR="00FA58AC" w:rsidRPr="00B9463A">
        <w:rPr>
          <w:b/>
        </w:rPr>
        <w:t>erpání výdajů státního rozpočtu</w:t>
      </w:r>
      <w:r w:rsidRPr="00B9463A">
        <w:rPr>
          <w:b/>
        </w:rPr>
        <w:t xml:space="preserve"> (v mld. Kč)</w:t>
      </w:r>
    </w:p>
    <w:p w:rsidR="00FA58AC" w:rsidRPr="00505889" w:rsidRDefault="00B9463A" w:rsidP="00C9470F">
      <w:pPr>
        <w:spacing w:line="240" w:lineRule="auto"/>
      </w:pPr>
      <w:r w:rsidRPr="00B9463A">
        <w:rPr>
          <w:noProof/>
        </w:rPr>
        <w:drawing>
          <wp:inline distT="0" distB="0" distL="0" distR="0" wp14:anchorId="3587C3D6" wp14:editId="3470BF5C">
            <wp:extent cx="6124575" cy="4688606"/>
            <wp:effectExtent l="0" t="0" r="0" b="0"/>
            <wp:docPr id="15" name="Obráze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0487" cy="46931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A58AC" w:rsidRPr="00505889" w:rsidSect="00350ACC">
      <w:footerReference w:type="default" r:id="rId16"/>
      <w:pgSz w:w="12191" w:h="15842" w:code="1"/>
      <w:pgMar w:top="1134" w:right="1134" w:bottom="1134" w:left="1134" w:header="0" w:footer="0" w:gutter="0"/>
      <w:cols w:space="708"/>
      <w:titlePg/>
      <w:docGrid w:linePitch="326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D0DE420" w16cid:durableId="21668AF6"/>
  <w16cid:commentId w16cid:paraId="66BB0F2E" w16cid:durableId="21668BFB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526F" w:rsidRDefault="00C8526F">
      <w:r>
        <w:separator/>
      </w:r>
    </w:p>
  </w:endnote>
  <w:endnote w:type="continuationSeparator" w:id="0">
    <w:p w:rsidR="00C8526F" w:rsidRDefault="00C852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58F3" w:rsidRDefault="00E758F3">
    <w:pPr>
      <w:pStyle w:val="Zpat"/>
      <w:framePr w:wrap="auto" w:vAnchor="text" w:hAnchor="margin" w:xAlign="center" w:y="1"/>
      <w:rPr>
        <w:rStyle w:val="slostrnky"/>
        <w:sz w:val="19"/>
      </w:rPr>
    </w:pPr>
    <w:r>
      <w:rPr>
        <w:rStyle w:val="slostrnky"/>
        <w:sz w:val="19"/>
      </w:rPr>
      <w:fldChar w:fldCharType="begin"/>
    </w:r>
    <w:r>
      <w:rPr>
        <w:rStyle w:val="slostrnky"/>
        <w:sz w:val="19"/>
      </w:rPr>
      <w:instrText xml:space="preserve">PAGE  </w:instrText>
    </w:r>
    <w:r>
      <w:rPr>
        <w:rStyle w:val="slostrnky"/>
        <w:sz w:val="19"/>
      </w:rPr>
      <w:fldChar w:fldCharType="separate"/>
    </w:r>
    <w:r w:rsidR="0046416B">
      <w:rPr>
        <w:rStyle w:val="slostrnky"/>
        <w:noProof/>
        <w:sz w:val="19"/>
      </w:rPr>
      <w:t>4</w:t>
    </w:r>
    <w:r>
      <w:rPr>
        <w:rStyle w:val="slostrnky"/>
        <w:sz w:val="19"/>
      </w:rPr>
      <w:fldChar w:fldCharType="end"/>
    </w:r>
  </w:p>
  <w:p w:rsidR="00E758F3" w:rsidRDefault="00E758F3">
    <w:pPr>
      <w:pStyle w:val="Zpat"/>
      <w:rPr>
        <w:sz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526F" w:rsidRDefault="00C8526F">
      <w:r>
        <w:separator/>
      </w:r>
    </w:p>
  </w:footnote>
  <w:footnote w:type="continuationSeparator" w:id="0">
    <w:p w:rsidR="00C8526F" w:rsidRDefault="00C852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CF0465"/>
    <w:multiLevelType w:val="hybridMultilevel"/>
    <w:tmpl w:val="AAFCF39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Prušvic David Ing. Ph.D.">
    <w15:presenceInfo w15:providerId="AD" w15:userId="S-1-5-21-725345543-1035525444-1547161642-1952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F33"/>
    <w:rsid w:val="00003826"/>
    <w:rsid w:val="00004240"/>
    <w:rsid w:val="00004B35"/>
    <w:rsid w:val="00004CEA"/>
    <w:rsid w:val="000050B7"/>
    <w:rsid w:val="0000727F"/>
    <w:rsid w:val="00007378"/>
    <w:rsid w:val="000103FC"/>
    <w:rsid w:val="0001055A"/>
    <w:rsid w:val="00017BD0"/>
    <w:rsid w:val="000208A7"/>
    <w:rsid w:val="00021E4C"/>
    <w:rsid w:val="00022724"/>
    <w:rsid w:val="000234D0"/>
    <w:rsid w:val="000235D3"/>
    <w:rsid w:val="00023841"/>
    <w:rsid w:val="00023E58"/>
    <w:rsid w:val="00027B94"/>
    <w:rsid w:val="00031124"/>
    <w:rsid w:val="00034778"/>
    <w:rsid w:val="00035238"/>
    <w:rsid w:val="00037027"/>
    <w:rsid w:val="0004001A"/>
    <w:rsid w:val="000430CF"/>
    <w:rsid w:val="000458CA"/>
    <w:rsid w:val="00045EB2"/>
    <w:rsid w:val="00045EEB"/>
    <w:rsid w:val="000462CF"/>
    <w:rsid w:val="0004646B"/>
    <w:rsid w:val="00046894"/>
    <w:rsid w:val="000469F7"/>
    <w:rsid w:val="0004750C"/>
    <w:rsid w:val="000522D7"/>
    <w:rsid w:val="00053DC2"/>
    <w:rsid w:val="00056479"/>
    <w:rsid w:val="000614F5"/>
    <w:rsid w:val="00063FFF"/>
    <w:rsid w:val="000677F0"/>
    <w:rsid w:val="00071287"/>
    <w:rsid w:val="00073056"/>
    <w:rsid w:val="00073556"/>
    <w:rsid w:val="000753E6"/>
    <w:rsid w:val="00075BF5"/>
    <w:rsid w:val="0007734E"/>
    <w:rsid w:val="0008130A"/>
    <w:rsid w:val="0008285F"/>
    <w:rsid w:val="00082B53"/>
    <w:rsid w:val="00083668"/>
    <w:rsid w:val="000841E3"/>
    <w:rsid w:val="000861F5"/>
    <w:rsid w:val="00086417"/>
    <w:rsid w:val="00086971"/>
    <w:rsid w:val="00090232"/>
    <w:rsid w:val="00093361"/>
    <w:rsid w:val="00093634"/>
    <w:rsid w:val="00093D14"/>
    <w:rsid w:val="000943DA"/>
    <w:rsid w:val="00097B88"/>
    <w:rsid w:val="000A0D4B"/>
    <w:rsid w:val="000A0DDE"/>
    <w:rsid w:val="000A10A4"/>
    <w:rsid w:val="000A21E9"/>
    <w:rsid w:val="000A2B9D"/>
    <w:rsid w:val="000A2DF3"/>
    <w:rsid w:val="000A2E61"/>
    <w:rsid w:val="000A3903"/>
    <w:rsid w:val="000A799D"/>
    <w:rsid w:val="000B2333"/>
    <w:rsid w:val="000B3D5E"/>
    <w:rsid w:val="000B434D"/>
    <w:rsid w:val="000B4440"/>
    <w:rsid w:val="000B686D"/>
    <w:rsid w:val="000B6A6A"/>
    <w:rsid w:val="000B7316"/>
    <w:rsid w:val="000C0EF1"/>
    <w:rsid w:val="000C2BA3"/>
    <w:rsid w:val="000C31FA"/>
    <w:rsid w:val="000C5B05"/>
    <w:rsid w:val="000C632A"/>
    <w:rsid w:val="000C70C2"/>
    <w:rsid w:val="000D17D0"/>
    <w:rsid w:val="000D1ABD"/>
    <w:rsid w:val="000D2442"/>
    <w:rsid w:val="000D39B7"/>
    <w:rsid w:val="000D6914"/>
    <w:rsid w:val="000D6A84"/>
    <w:rsid w:val="000D71EC"/>
    <w:rsid w:val="000D797D"/>
    <w:rsid w:val="000D7D13"/>
    <w:rsid w:val="000E126D"/>
    <w:rsid w:val="000F2880"/>
    <w:rsid w:val="000F3047"/>
    <w:rsid w:val="000F3816"/>
    <w:rsid w:val="000F4FAE"/>
    <w:rsid w:val="000F63E5"/>
    <w:rsid w:val="000F7009"/>
    <w:rsid w:val="000F714E"/>
    <w:rsid w:val="000F761A"/>
    <w:rsid w:val="00100BD0"/>
    <w:rsid w:val="00101F3E"/>
    <w:rsid w:val="001027AE"/>
    <w:rsid w:val="00105923"/>
    <w:rsid w:val="00106454"/>
    <w:rsid w:val="00107C81"/>
    <w:rsid w:val="0011035D"/>
    <w:rsid w:val="001128F7"/>
    <w:rsid w:val="00114014"/>
    <w:rsid w:val="001143F5"/>
    <w:rsid w:val="0011643D"/>
    <w:rsid w:val="001206E4"/>
    <w:rsid w:val="00121788"/>
    <w:rsid w:val="00122E9A"/>
    <w:rsid w:val="00123C32"/>
    <w:rsid w:val="0013165A"/>
    <w:rsid w:val="00133D71"/>
    <w:rsid w:val="001340A1"/>
    <w:rsid w:val="001346D6"/>
    <w:rsid w:val="001349A9"/>
    <w:rsid w:val="00134F71"/>
    <w:rsid w:val="0013598C"/>
    <w:rsid w:val="0014024B"/>
    <w:rsid w:val="0014070C"/>
    <w:rsid w:val="001409FF"/>
    <w:rsid w:val="00141410"/>
    <w:rsid w:val="00141F4A"/>
    <w:rsid w:val="0014272D"/>
    <w:rsid w:val="00142943"/>
    <w:rsid w:val="001448E5"/>
    <w:rsid w:val="001455D7"/>
    <w:rsid w:val="00146484"/>
    <w:rsid w:val="0015438A"/>
    <w:rsid w:val="00154A5B"/>
    <w:rsid w:val="00155164"/>
    <w:rsid w:val="001553D6"/>
    <w:rsid w:val="00155B19"/>
    <w:rsid w:val="00156DC0"/>
    <w:rsid w:val="0015744E"/>
    <w:rsid w:val="00157FCD"/>
    <w:rsid w:val="0016080F"/>
    <w:rsid w:val="00160A5D"/>
    <w:rsid w:val="00162314"/>
    <w:rsid w:val="00166864"/>
    <w:rsid w:val="00167FB1"/>
    <w:rsid w:val="00171A25"/>
    <w:rsid w:val="00172062"/>
    <w:rsid w:val="00173D0F"/>
    <w:rsid w:val="00175CA4"/>
    <w:rsid w:val="001769A0"/>
    <w:rsid w:val="00177354"/>
    <w:rsid w:val="00177839"/>
    <w:rsid w:val="00180A82"/>
    <w:rsid w:val="00182D5C"/>
    <w:rsid w:val="0018406C"/>
    <w:rsid w:val="00184D1D"/>
    <w:rsid w:val="00185A1C"/>
    <w:rsid w:val="001874C0"/>
    <w:rsid w:val="00187712"/>
    <w:rsid w:val="00187AD0"/>
    <w:rsid w:val="001955C2"/>
    <w:rsid w:val="00195FC5"/>
    <w:rsid w:val="00196E12"/>
    <w:rsid w:val="001A10DB"/>
    <w:rsid w:val="001A1D35"/>
    <w:rsid w:val="001A2A3C"/>
    <w:rsid w:val="001A3F30"/>
    <w:rsid w:val="001A6437"/>
    <w:rsid w:val="001A7B4E"/>
    <w:rsid w:val="001B2A82"/>
    <w:rsid w:val="001B30C2"/>
    <w:rsid w:val="001B7002"/>
    <w:rsid w:val="001C09CD"/>
    <w:rsid w:val="001C0C55"/>
    <w:rsid w:val="001C1411"/>
    <w:rsid w:val="001C21CD"/>
    <w:rsid w:val="001C2A33"/>
    <w:rsid w:val="001C44DF"/>
    <w:rsid w:val="001C46B8"/>
    <w:rsid w:val="001C66EA"/>
    <w:rsid w:val="001C7081"/>
    <w:rsid w:val="001C716E"/>
    <w:rsid w:val="001D02ED"/>
    <w:rsid w:val="001D0377"/>
    <w:rsid w:val="001D04AE"/>
    <w:rsid w:val="001D2CC6"/>
    <w:rsid w:val="001D3F90"/>
    <w:rsid w:val="001D4AA7"/>
    <w:rsid w:val="001D4CF4"/>
    <w:rsid w:val="001D4DF4"/>
    <w:rsid w:val="001D6075"/>
    <w:rsid w:val="001D7BC7"/>
    <w:rsid w:val="001E219C"/>
    <w:rsid w:val="001E2DFE"/>
    <w:rsid w:val="001F13F7"/>
    <w:rsid w:val="001F215D"/>
    <w:rsid w:val="001F3DA5"/>
    <w:rsid w:val="001F4D9D"/>
    <w:rsid w:val="001F4F2F"/>
    <w:rsid w:val="001F5759"/>
    <w:rsid w:val="001F704A"/>
    <w:rsid w:val="001F7CA0"/>
    <w:rsid w:val="0020067D"/>
    <w:rsid w:val="00201EEC"/>
    <w:rsid w:val="00202AFA"/>
    <w:rsid w:val="00204C76"/>
    <w:rsid w:val="002129D9"/>
    <w:rsid w:val="002143FA"/>
    <w:rsid w:val="00215146"/>
    <w:rsid w:val="00224246"/>
    <w:rsid w:val="002243C7"/>
    <w:rsid w:val="00225CBF"/>
    <w:rsid w:val="00226FF5"/>
    <w:rsid w:val="00233377"/>
    <w:rsid w:val="002355D4"/>
    <w:rsid w:val="0024140A"/>
    <w:rsid w:val="00241DF7"/>
    <w:rsid w:val="00241FEF"/>
    <w:rsid w:val="00242920"/>
    <w:rsid w:val="00242B80"/>
    <w:rsid w:val="00245E9D"/>
    <w:rsid w:val="0025064B"/>
    <w:rsid w:val="002519B6"/>
    <w:rsid w:val="00252565"/>
    <w:rsid w:val="0025310A"/>
    <w:rsid w:val="00255C3F"/>
    <w:rsid w:val="00257FE3"/>
    <w:rsid w:val="00260092"/>
    <w:rsid w:val="00264F9C"/>
    <w:rsid w:val="00266114"/>
    <w:rsid w:val="002676A2"/>
    <w:rsid w:val="0026770F"/>
    <w:rsid w:val="00271E2E"/>
    <w:rsid w:val="00272020"/>
    <w:rsid w:val="00274982"/>
    <w:rsid w:val="00276AA8"/>
    <w:rsid w:val="002776AF"/>
    <w:rsid w:val="0027782F"/>
    <w:rsid w:val="00277A02"/>
    <w:rsid w:val="00280082"/>
    <w:rsid w:val="0028774D"/>
    <w:rsid w:val="002912CC"/>
    <w:rsid w:val="00292564"/>
    <w:rsid w:val="00295AD0"/>
    <w:rsid w:val="00297CF6"/>
    <w:rsid w:val="002A2A6B"/>
    <w:rsid w:val="002A774A"/>
    <w:rsid w:val="002B15DC"/>
    <w:rsid w:val="002B227A"/>
    <w:rsid w:val="002B4572"/>
    <w:rsid w:val="002B5150"/>
    <w:rsid w:val="002B58ED"/>
    <w:rsid w:val="002B6447"/>
    <w:rsid w:val="002B7D58"/>
    <w:rsid w:val="002C07BE"/>
    <w:rsid w:val="002C0B74"/>
    <w:rsid w:val="002C104E"/>
    <w:rsid w:val="002D3C54"/>
    <w:rsid w:val="002D6C23"/>
    <w:rsid w:val="002D71CC"/>
    <w:rsid w:val="002E06B1"/>
    <w:rsid w:val="002E07D5"/>
    <w:rsid w:val="002E19CF"/>
    <w:rsid w:val="002E20E9"/>
    <w:rsid w:val="002E2981"/>
    <w:rsid w:val="002E3A34"/>
    <w:rsid w:val="002E7A13"/>
    <w:rsid w:val="002F1C86"/>
    <w:rsid w:val="002F1D25"/>
    <w:rsid w:val="002F412C"/>
    <w:rsid w:val="002F573D"/>
    <w:rsid w:val="002F6AA4"/>
    <w:rsid w:val="002F7EED"/>
    <w:rsid w:val="0030168D"/>
    <w:rsid w:val="003033D0"/>
    <w:rsid w:val="00304DE9"/>
    <w:rsid w:val="00305C15"/>
    <w:rsid w:val="00305DDE"/>
    <w:rsid w:val="00310EA7"/>
    <w:rsid w:val="00312EC3"/>
    <w:rsid w:val="00313F8D"/>
    <w:rsid w:val="003140CE"/>
    <w:rsid w:val="00317115"/>
    <w:rsid w:val="00320D83"/>
    <w:rsid w:val="00320EBB"/>
    <w:rsid w:val="003262A8"/>
    <w:rsid w:val="003312DD"/>
    <w:rsid w:val="00332563"/>
    <w:rsid w:val="00332C33"/>
    <w:rsid w:val="00334F3E"/>
    <w:rsid w:val="00337565"/>
    <w:rsid w:val="003423D5"/>
    <w:rsid w:val="00342970"/>
    <w:rsid w:val="00343184"/>
    <w:rsid w:val="003443FA"/>
    <w:rsid w:val="00344D90"/>
    <w:rsid w:val="00350089"/>
    <w:rsid w:val="00350ACC"/>
    <w:rsid w:val="00356AFB"/>
    <w:rsid w:val="003609AB"/>
    <w:rsid w:val="00360E26"/>
    <w:rsid w:val="00361569"/>
    <w:rsid w:val="003622F6"/>
    <w:rsid w:val="003634EB"/>
    <w:rsid w:val="00365029"/>
    <w:rsid w:val="00365D9B"/>
    <w:rsid w:val="00365DF1"/>
    <w:rsid w:val="00366A35"/>
    <w:rsid w:val="00367608"/>
    <w:rsid w:val="00367775"/>
    <w:rsid w:val="0037086A"/>
    <w:rsid w:val="003713EE"/>
    <w:rsid w:val="003714BA"/>
    <w:rsid w:val="00371E15"/>
    <w:rsid w:val="0037269E"/>
    <w:rsid w:val="003727B3"/>
    <w:rsid w:val="00373922"/>
    <w:rsid w:val="00373A04"/>
    <w:rsid w:val="0037524F"/>
    <w:rsid w:val="00375DED"/>
    <w:rsid w:val="003762EF"/>
    <w:rsid w:val="003768BA"/>
    <w:rsid w:val="00377F81"/>
    <w:rsid w:val="00380F10"/>
    <w:rsid w:val="003837AA"/>
    <w:rsid w:val="00392CFB"/>
    <w:rsid w:val="00394047"/>
    <w:rsid w:val="00396019"/>
    <w:rsid w:val="00396DE0"/>
    <w:rsid w:val="00396F59"/>
    <w:rsid w:val="003A0A12"/>
    <w:rsid w:val="003A1A96"/>
    <w:rsid w:val="003A1FB2"/>
    <w:rsid w:val="003A2E9B"/>
    <w:rsid w:val="003A30C4"/>
    <w:rsid w:val="003A42EA"/>
    <w:rsid w:val="003A4E34"/>
    <w:rsid w:val="003A6BA3"/>
    <w:rsid w:val="003B068B"/>
    <w:rsid w:val="003B1F36"/>
    <w:rsid w:val="003B2B9B"/>
    <w:rsid w:val="003B35F9"/>
    <w:rsid w:val="003B4909"/>
    <w:rsid w:val="003B65D3"/>
    <w:rsid w:val="003B78E6"/>
    <w:rsid w:val="003C20B3"/>
    <w:rsid w:val="003C2748"/>
    <w:rsid w:val="003C3524"/>
    <w:rsid w:val="003D4ADE"/>
    <w:rsid w:val="003D5593"/>
    <w:rsid w:val="003D79F8"/>
    <w:rsid w:val="003E55E8"/>
    <w:rsid w:val="003E6F5A"/>
    <w:rsid w:val="003F23FF"/>
    <w:rsid w:val="003F2F05"/>
    <w:rsid w:val="0040143E"/>
    <w:rsid w:val="004074D4"/>
    <w:rsid w:val="004104C5"/>
    <w:rsid w:val="00410BB4"/>
    <w:rsid w:val="00410F12"/>
    <w:rsid w:val="004135B9"/>
    <w:rsid w:val="00415EE1"/>
    <w:rsid w:val="00417BD6"/>
    <w:rsid w:val="004218A4"/>
    <w:rsid w:val="004227DC"/>
    <w:rsid w:val="00423DE2"/>
    <w:rsid w:val="0042442E"/>
    <w:rsid w:val="00424FFF"/>
    <w:rsid w:val="00425296"/>
    <w:rsid w:val="00426CB9"/>
    <w:rsid w:val="00430298"/>
    <w:rsid w:val="00430D0A"/>
    <w:rsid w:val="004318EF"/>
    <w:rsid w:val="004326B9"/>
    <w:rsid w:val="00433908"/>
    <w:rsid w:val="0043573F"/>
    <w:rsid w:val="00436923"/>
    <w:rsid w:val="00436E9A"/>
    <w:rsid w:val="004372A9"/>
    <w:rsid w:val="004372D6"/>
    <w:rsid w:val="00437594"/>
    <w:rsid w:val="00437C8B"/>
    <w:rsid w:val="0044124C"/>
    <w:rsid w:val="00442E46"/>
    <w:rsid w:val="00444458"/>
    <w:rsid w:val="00444FF2"/>
    <w:rsid w:val="00445EAB"/>
    <w:rsid w:val="00446DAA"/>
    <w:rsid w:val="0044731D"/>
    <w:rsid w:val="004474BA"/>
    <w:rsid w:val="004521CA"/>
    <w:rsid w:val="00454172"/>
    <w:rsid w:val="00454A86"/>
    <w:rsid w:val="00455761"/>
    <w:rsid w:val="00457A24"/>
    <w:rsid w:val="00460966"/>
    <w:rsid w:val="00462793"/>
    <w:rsid w:val="00463B23"/>
    <w:rsid w:val="0046416B"/>
    <w:rsid w:val="004652BC"/>
    <w:rsid w:val="004654C6"/>
    <w:rsid w:val="004671CC"/>
    <w:rsid w:val="004672F7"/>
    <w:rsid w:val="004714F7"/>
    <w:rsid w:val="004725D9"/>
    <w:rsid w:val="00472D02"/>
    <w:rsid w:val="00473ABA"/>
    <w:rsid w:val="00476E94"/>
    <w:rsid w:val="00476F31"/>
    <w:rsid w:val="004803B3"/>
    <w:rsid w:val="00481277"/>
    <w:rsid w:val="004817B9"/>
    <w:rsid w:val="00481E10"/>
    <w:rsid w:val="00481E56"/>
    <w:rsid w:val="00483E5F"/>
    <w:rsid w:val="004846CE"/>
    <w:rsid w:val="00485BDD"/>
    <w:rsid w:val="00490B94"/>
    <w:rsid w:val="00491141"/>
    <w:rsid w:val="00494675"/>
    <w:rsid w:val="00494BA8"/>
    <w:rsid w:val="004962E1"/>
    <w:rsid w:val="004968AF"/>
    <w:rsid w:val="00496C32"/>
    <w:rsid w:val="00497224"/>
    <w:rsid w:val="00497412"/>
    <w:rsid w:val="00497D20"/>
    <w:rsid w:val="004A4655"/>
    <w:rsid w:val="004A4AAC"/>
    <w:rsid w:val="004A5DCF"/>
    <w:rsid w:val="004B24B9"/>
    <w:rsid w:val="004B2BA5"/>
    <w:rsid w:val="004B6A2C"/>
    <w:rsid w:val="004B7D6E"/>
    <w:rsid w:val="004C2103"/>
    <w:rsid w:val="004C24F5"/>
    <w:rsid w:val="004C60C9"/>
    <w:rsid w:val="004C6216"/>
    <w:rsid w:val="004C6A58"/>
    <w:rsid w:val="004D1AB1"/>
    <w:rsid w:val="004D47A5"/>
    <w:rsid w:val="004D634C"/>
    <w:rsid w:val="004D7967"/>
    <w:rsid w:val="004D7FAD"/>
    <w:rsid w:val="004E1378"/>
    <w:rsid w:val="004E2869"/>
    <w:rsid w:val="004E382E"/>
    <w:rsid w:val="004F1DB4"/>
    <w:rsid w:val="004F27D4"/>
    <w:rsid w:val="004F341C"/>
    <w:rsid w:val="004F428F"/>
    <w:rsid w:val="004F55CA"/>
    <w:rsid w:val="00505688"/>
    <w:rsid w:val="005056B0"/>
    <w:rsid w:val="00505889"/>
    <w:rsid w:val="0050599A"/>
    <w:rsid w:val="00505BCB"/>
    <w:rsid w:val="00507DC2"/>
    <w:rsid w:val="00512C9A"/>
    <w:rsid w:val="005139E8"/>
    <w:rsid w:val="00513F66"/>
    <w:rsid w:val="005144B4"/>
    <w:rsid w:val="00515BC1"/>
    <w:rsid w:val="00515E52"/>
    <w:rsid w:val="005203A4"/>
    <w:rsid w:val="00520DA9"/>
    <w:rsid w:val="005218B8"/>
    <w:rsid w:val="00522889"/>
    <w:rsid w:val="00523A81"/>
    <w:rsid w:val="00527BE2"/>
    <w:rsid w:val="00530491"/>
    <w:rsid w:val="00531D7E"/>
    <w:rsid w:val="005335B1"/>
    <w:rsid w:val="00534279"/>
    <w:rsid w:val="00535744"/>
    <w:rsid w:val="005402E3"/>
    <w:rsid w:val="005416FA"/>
    <w:rsid w:val="0054224D"/>
    <w:rsid w:val="005422E4"/>
    <w:rsid w:val="0054319A"/>
    <w:rsid w:val="00543C09"/>
    <w:rsid w:val="00543CF0"/>
    <w:rsid w:val="00544B9D"/>
    <w:rsid w:val="00547920"/>
    <w:rsid w:val="0055119B"/>
    <w:rsid w:val="00551256"/>
    <w:rsid w:val="00552408"/>
    <w:rsid w:val="005544FC"/>
    <w:rsid w:val="00554DCA"/>
    <w:rsid w:val="00557827"/>
    <w:rsid w:val="005602EE"/>
    <w:rsid w:val="00562EE1"/>
    <w:rsid w:val="0056304B"/>
    <w:rsid w:val="00564E27"/>
    <w:rsid w:val="00570B7F"/>
    <w:rsid w:val="00570BAA"/>
    <w:rsid w:val="005727CB"/>
    <w:rsid w:val="005735E1"/>
    <w:rsid w:val="0057360C"/>
    <w:rsid w:val="00573686"/>
    <w:rsid w:val="00574EE9"/>
    <w:rsid w:val="005821EF"/>
    <w:rsid w:val="00582D0B"/>
    <w:rsid w:val="00583FE9"/>
    <w:rsid w:val="00586C41"/>
    <w:rsid w:val="0058714B"/>
    <w:rsid w:val="00592C09"/>
    <w:rsid w:val="00593291"/>
    <w:rsid w:val="0059435B"/>
    <w:rsid w:val="005952D7"/>
    <w:rsid w:val="0059534F"/>
    <w:rsid w:val="005966F2"/>
    <w:rsid w:val="005A08C2"/>
    <w:rsid w:val="005A1AAB"/>
    <w:rsid w:val="005A28DB"/>
    <w:rsid w:val="005A29D4"/>
    <w:rsid w:val="005B004E"/>
    <w:rsid w:val="005B06BF"/>
    <w:rsid w:val="005B0D52"/>
    <w:rsid w:val="005B45B2"/>
    <w:rsid w:val="005B5C9B"/>
    <w:rsid w:val="005C0073"/>
    <w:rsid w:val="005C062B"/>
    <w:rsid w:val="005C1811"/>
    <w:rsid w:val="005C1C72"/>
    <w:rsid w:val="005C2753"/>
    <w:rsid w:val="005C3B7B"/>
    <w:rsid w:val="005C43F0"/>
    <w:rsid w:val="005C4E48"/>
    <w:rsid w:val="005C5B9D"/>
    <w:rsid w:val="005C7C8F"/>
    <w:rsid w:val="005D0AB0"/>
    <w:rsid w:val="005D0D7C"/>
    <w:rsid w:val="005D4137"/>
    <w:rsid w:val="005D610C"/>
    <w:rsid w:val="005D6A1D"/>
    <w:rsid w:val="005D76BA"/>
    <w:rsid w:val="005E028D"/>
    <w:rsid w:val="005E427F"/>
    <w:rsid w:val="005E47DB"/>
    <w:rsid w:val="005E613C"/>
    <w:rsid w:val="005F193B"/>
    <w:rsid w:val="005F29A2"/>
    <w:rsid w:val="005F2A73"/>
    <w:rsid w:val="005F3491"/>
    <w:rsid w:val="005F3B13"/>
    <w:rsid w:val="005F415A"/>
    <w:rsid w:val="005F5C96"/>
    <w:rsid w:val="005F79A6"/>
    <w:rsid w:val="00602BAF"/>
    <w:rsid w:val="006031EB"/>
    <w:rsid w:val="00604FAC"/>
    <w:rsid w:val="0060584B"/>
    <w:rsid w:val="00605939"/>
    <w:rsid w:val="006060B7"/>
    <w:rsid w:val="00607106"/>
    <w:rsid w:val="006117C0"/>
    <w:rsid w:val="00613C88"/>
    <w:rsid w:val="00613D83"/>
    <w:rsid w:val="00616432"/>
    <w:rsid w:val="00620169"/>
    <w:rsid w:val="00622829"/>
    <w:rsid w:val="00622F32"/>
    <w:rsid w:val="00623937"/>
    <w:rsid w:val="00624A4E"/>
    <w:rsid w:val="006254F6"/>
    <w:rsid w:val="00626F03"/>
    <w:rsid w:val="0063033C"/>
    <w:rsid w:val="0063208D"/>
    <w:rsid w:val="0063409B"/>
    <w:rsid w:val="006344F2"/>
    <w:rsid w:val="00634E69"/>
    <w:rsid w:val="00635739"/>
    <w:rsid w:val="00635875"/>
    <w:rsid w:val="00636EE2"/>
    <w:rsid w:val="0063773C"/>
    <w:rsid w:val="00641069"/>
    <w:rsid w:val="00642C1E"/>
    <w:rsid w:val="00646A49"/>
    <w:rsid w:val="00650269"/>
    <w:rsid w:val="00650D03"/>
    <w:rsid w:val="006534EC"/>
    <w:rsid w:val="00653E2C"/>
    <w:rsid w:val="00654993"/>
    <w:rsid w:val="0066194C"/>
    <w:rsid w:val="00661E01"/>
    <w:rsid w:val="0066264D"/>
    <w:rsid w:val="00662B79"/>
    <w:rsid w:val="006630CE"/>
    <w:rsid w:val="00663BEA"/>
    <w:rsid w:val="00663E13"/>
    <w:rsid w:val="00663F22"/>
    <w:rsid w:val="00664570"/>
    <w:rsid w:val="00665AE5"/>
    <w:rsid w:val="00665FCF"/>
    <w:rsid w:val="006718DA"/>
    <w:rsid w:val="006740DC"/>
    <w:rsid w:val="006754C0"/>
    <w:rsid w:val="00676035"/>
    <w:rsid w:val="00680461"/>
    <w:rsid w:val="00680BF6"/>
    <w:rsid w:val="0068130D"/>
    <w:rsid w:val="00682A95"/>
    <w:rsid w:val="00682AD3"/>
    <w:rsid w:val="00682F1A"/>
    <w:rsid w:val="0069200D"/>
    <w:rsid w:val="006954C0"/>
    <w:rsid w:val="00696259"/>
    <w:rsid w:val="006977BC"/>
    <w:rsid w:val="006A19AC"/>
    <w:rsid w:val="006A2D34"/>
    <w:rsid w:val="006A321B"/>
    <w:rsid w:val="006A3F83"/>
    <w:rsid w:val="006A4C67"/>
    <w:rsid w:val="006A7F4D"/>
    <w:rsid w:val="006B12CF"/>
    <w:rsid w:val="006B1A55"/>
    <w:rsid w:val="006B1DA3"/>
    <w:rsid w:val="006B2A20"/>
    <w:rsid w:val="006B2AFF"/>
    <w:rsid w:val="006B2BB1"/>
    <w:rsid w:val="006B2DD6"/>
    <w:rsid w:val="006B311C"/>
    <w:rsid w:val="006B627F"/>
    <w:rsid w:val="006B7134"/>
    <w:rsid w:val="006B716C"/>
    <w:rsid w:val="006C0063"/>
    <w:rsid w:val="006C11A0"/>
    <w:rsid w:val="006C43F3"/>
    <w:rsid w:val="006C7851"/>
    <w:rsid w:val="006D0071"/>
    <w:rsid w:val="006D01CE"/>
    <w:rsid w:val="006D3BF2"/>
    <w:rsid w:val="006D48EB"/>
    <w:rsid w:val="006E1308"/>
    <w:rsid w:val="006E15B8"/>
    <w:rsid w:val="006E1A13"/>
    <w:rsid w:val="006E1A49"/>
    <w:rsid w:val="006E213C"/>
    <w:rsid w:val="006E42C5"/>
    <w:rsid w:val="006E681A"/>
    <w:rsid w:val="006F3B98"/>
    <w:rsid w:val="006F537B"/>
    <w:rsid w:val="006F6CB4"/>
    <w:rsid w:val="00700CDE"/>
    <w:rsid w:val="00703A49"/>
    <w:rsid w:val="007048FE"/>
    <w:rsid w:val="00705AE1"/>
    <w:rsid w:val="00710080"/>
    <w:rsid w:val="00710697"/>
    <w:rsid w:val="00711036"/>
    <w:rsid w:val="00711CDC"/>
    <w:rsid w:val="00712DF5"/>
    <w:rsid w:val="00714F6C"/>
    <w:rsid w:val="00715BF4"/>
    <w:rsid w:val="00720299"/>
    <w:rsid w:val="0072293B"/>
    <w:rsid w:val="00723829"/>
    <w:rsid w:val="00723FD0"/>
    <w:rsid w:val="007300FC"/>
    <w:rsid w:val="0073447D"/>
    <w:rsid w:val="007347A9"/>
    <w:rsid w:val="00734AA8"/>
    <w:rsid w:val="007369D0"/>
    <w:rsid w:val="00736DBB"/>
    <w:rsid w:val="007372B2"/>
    <w:rsid w:val="00737C0F"/>
    <w:rsid w:val="007409D6"/>
    <w:rsid w:val="00741560"/>
    <w:rsid w:val="00741B53"/>
    <w:rsid w:val="00742F34"/>
    <w:rsid w:val="00746014"/>
    <w:rsid w:val="00752A85"/>
    <w:rsid w:val="00753103"/>
    <w:rsid w:val="00756314"/>
    <w:rsid w:val="00760CA8"/>
    <w:rsid w:val="00762071"/>
    <w:rsid w:val="007638CD"/>
    <w:rsid w:val="007644F3"/>
    <w:rsid w:val="00765350"/>
    <w:rsid w:val="00766A81"/>
    <w:rsid w:val="00767AE2"/>
    <w:rsid w:val="00770574"/>
    <w:rsid w:val="00770E18"/>
    <w:rsid w:val="00771242"/>
    <w:rsid w:val="00771741"/>
    <w:rsid w:val="007736CB"/>
    <w:rsid w:val="00776055"/>
    <w:rsid w:val="0077625B"/>
    <w:rsid w:val="00776E84"/>
    <w:rsid w:val="00780D23"/>
    <w:rsid w:val="007829CA"/>
    <w:rsid w:val="007832C8"/>
    <w:rsid w:val="00784D77"/>
    <w:rsid w:val="0078781D"/>
    <w:rsid w:val="00790F22"/>
    <w:rsid w:val="00792071"/>
    <w:rsid w:val="0079541F"/>
    <w:rsid w:val="007A0B43"/>
    <w:rsid w:val="007A1BF4"/>
    <w:rsid w:val="007A2D4D"/>
    <w:rsid w:val="007A365D"/>
    <w:rsid w:val="007A3B48"/>
    <w:rsid w:val="007B11FD"/>
    <w:rsid w:val="007B379B"/>
    <w:rsid w:val="007B3B1E"/>
    <w:rsid w:val="007B6670"/>
    <w:rsid w:val="007B6DBE"/>
    <w:rsid w:val="007C0C39"/>
    <w:rsid w:val="007C139B"/>
    <w:rsid w:val="007C43FD"/>
    <w:rsid w:val="007C6DBD"/>
    <w:rsid w:val="007D24AB"/>
    <w:rsid w:val="007D2888"/>
    <w:rsid w:val="007D2F66"/>
    <w:rsid w:val="007D3EBB"/>
    <w:rsid w:val="007D5E05"/>
    <w:rsid w:val="007D7E1C"/>
    <w:rsid w:val="007E4407"/>
    <w:rsid w:val="007E6C29"/>
    <w:rsid w:val="007F0E1B"/>
    <w:rsid w:val="007F10D0"/>
    <w:rsid w:val="007F2DBC"/>
    <w:rsid w:val="007F2FC5"/>
    <w:rsid w:val="007F312A"/>
    <w:rsid w:val="007F3E6B"/>
    <w:rsid w:val="007F4AB8"/>
    <w:rsid w:val="007F4B82"/>
    <w:rsid w:val="007F4E6A"/>
    <w:rsid w:val="007F5913"/>
    <w:rsid w:val="00806167"/>
    <w:rsid w:val="0081143B"/>
    <w:rsid w:val="00812088"/>
    <w:rsid w:val="00813E50"/>
    <w:rsid w:val="008161EB"/>
    <w:rsid w:val="0081695F"/>
    <w:rsid w:val="0082063D"/>
    <w:rsid w:val="008210FE"/>
    <w:rsid w:val="00823B74"/>
    <w:rsid w:val="00826C2D"/>
    <w:rsid w:val="00827A65"/>
    <w:rsid w:val="00831BC4"/>
    <w:rsid w:val="00831F3E"/>
    <w:rsid w:val="00833D1B"/>
    <w:rsid w:val="00834778"/>
    <w:rsid w:val="00835CFB"/>
    <w:rsid w:val="008379F9"/>
    <w:rsid w:val="00840BC2"/>
    <w:rsid w:val="00840C86"/>
    <w:rsid w:val="0084234A"/>
    <w:rsid w:val="0084283B"/>
    <w:rsid w:val="008434FA"/>
    <w:rsid w:val="008443BB"/>
    <w:rsid w:val="008506CA"/>
    <w:rsid w:val="008524E4"/>
    <w:rsid w:val="008557E8"/>
    <w:rsid w:val="008576FD"/>
    <w:rsid w:val="008603B3"/>
    <w:rsid w:val="008631EA"/>
    <w:rsid w:val="0086411A"/>
    <w:rsid w:val="00864933"/>
    <w:rsid w:val="00865C67"/>
    <w:rsid w:val="008665ED"/>
    <w:rsid w:val="00866781"/>
    <w:rsid w:val="008757F9"/>
    <w:rsid w:val="00875E01"/>
    <w:rsid w:val="008770E8"/>
    <w:rsid w:val="00877FB0"/>
    <w:rsid w:val="008800A7"/>
    <w:rsid w:val="00880C77"/>
    <w:rsid w:val="00881623"/>
    <w:rsid w:val="00881E59"/>
    <w:rsid w:val="00882A7D"/>
    <w:rsid w:val="00885D60"/>
    <w:rsid w:val="00885D72"/>
    <w:rsid w:val="0088751C"/>
    <w:rsid w:val="0089166B"/>
    <w:rsid w:val="0089489A"/>
    <w:rsid w:val="00895CFE"/>
    <w:rsid w:val="00895E99"/>
    <w:rsid w:val="00895FF4"/>
    <w:rsid w:val="00896B31"/>
    <w:rsid w:val="008A38D0"/>
    <w:rsid w:val="008A59FF"/>
    <w:rsid w:val="008A606D"/>
    <w:rsid w:val="008B2257"/>
    <w:rsid w:val="008B313F"/>
    <w:rsid w:val="008B39C0"/>
    <w:rsid w:val="008C06E3"/>
    <w:rsid w:val="008C12C7"/>
    <w:rsid w:val="008C1A59"/>
    <w:rsid w:val="008C1AEA"/>
    <w:rsid w:val="008C5325"/>
    <w:rsid w:val="008C6E6B"/>
    <w:rsid w:val="008C7C58"/>
    <w:rsid w:val="008D25C2"/>
    <w:rsid w:val="008D2713"/>
    <w:rsid w:val="008D31AA"/>
    <w:rsid w:val="008D6D12"/>
    <w:rsid w:val="008E3040"/>
    <w:rsid w:val="008E3579"/>
    <w:rsid w:val="008E3C6B"/>
    <w:rsid w:val="008E3D1D"/>
    <w:rsid w:val="008E3FB9"/>
    <w:rsid w:val="008E66FA"/>
    <w:rsid w:val="008E6DD4"/>
    <w:rsid w:val="008E79E9"/>
    <w:rsid w:val="008E7A22"/>
    <w:rsid w:val="008F0302"/>
    <w:rsid w:val="008F0749"/>
    <w:rsid w:val="008F120A"/>
    <w:rsid w:val="008F193C"/>
    <w:rsid w:val="008F3B42"/>
    <w:rsid w:val="00904D3B"/>
    <w:rsid w:val="00904ED8"/>
    <w:rsid w:val="00905E20"/>
    <w:rsid w:val="0090624B"/>
    <w:rsid w:val="00907441"/>
    <w:rsid w:val="00907805"/>
    <w:rsid w:val="00911830"/>
    <w:rsid w:val="0091279D"/>
    <w:rsid w:val="0091356E"/>
    <w:rsid w:val="00916FCA"/>
    <w:rsid w:val="00920A39"/>
    <w:rsid w:val="00920E5D"/>
    <w:rsid w:val="009224B4"/>
    <w:rsid w:val="00923152"/>
    <w:rsid w:val="009232C7"/>
    <w:rsid w:val="0092330A"/>
    <w:rsid w:val="0092525F"/>
    <w:rsid w:val="00927472"/>
    <w:rsid w:val="00930E2A"/>
    <w:rsid w:val="00932C2F"/>
    <w:rsid w:val="00932C6E"/>
    <w:rsid w:val="009352B9"/>
    <w:rsid w:val="00943352"/>
    <w:rsid w:val="00951135"/>
    <w:rsid w:val="00952263"/>
    <w:rsid w:val="00954271"/>
    <w:rsid w:val="0095449C"/>
    <w:rsid w:val="00955157"/>
    <w:rsid w:val="00955398"/>
    <w:rsid w:val="0095721C"/>
    <w:rsid w:val="00963FE1"/>
    <w:rsid w:val="00964E19"/>
    <w:rsid w:val="00971971"/>
    <w:rsid w:val="00973861"/>
    <w:rsid w:val="00974440"/>
    <w:rsid w:val="00975515"/>
    <w:rsid w:val="00976F2C"/>
    <w:rsid w:val="00977103"/>
    <w:rsid w:val="00982FEC"/>
    <w:rsid w:val="00983E59"/>
    <w:rsid w:val="009873AC"/>
    <w:rsid w:val="00991796"/>
    <w:rsid w:val="00992967"/>
    <w:rsid w:val="00992AD5"/>
    <w:rsid w:val="0099457F"/>
    <w:rsid w:val="009958BF"/>
    <w:rsid w:val="009A14F4"/>
    <w:rsid w:val="009A172D"/>
    <w:rsid w:val="009A26B6"/>
    <w:rsid w:val="009A4B2B"/>
    <w:rsid w:val="009A7237"/>
    <w:rsid w:val="009B0536"/>
    <w:rsid w:val="009B08C2"/>
    <w:rsid w:val="009B0E7F"/>
    <w:rsid w:val="009B239E"/>
    <w:rsid w:val="009B72D1"/>
    <w:rsid w:val="009C409A"/>
    <w:rsid w:val="009C542E"/>
    <w:rsid w:val="009C60CA"/>
    <w:rsid w:val="009C7BC0"/>
    <w:rsid w:val="009C7E21"/>
    <w:rsid w:val="009D2382"/>
    <w:rsid w:val="009D29FE"/>
    <w:rsid w:val="009D52EB"/>
    <w:rsid w:val="009D530A"/>
    <w:rsid w:val="009E06E1"/>
    <w:rsid w:val="009E0FCC"/>
    <w:rsid w:val="009E364C"/>
    <w:rsid w:val="009E4FAA"/>
    <w:rsid w:val="009E5687"/>
    <w:rsid w:val="009F32BF"/>
    <w:rsid w:val="009F62EB"/>
    <w:rsid w:val="009F6DC5"/>
    <w:rsid w:val="009F76C9"/>
    <w:rsid w:val="00A02653"/>
    <w:rsid w:val="00A03189"/>
    <w:rsid w:val="00A03F4F"/>
    <w:rsid w:val="00A04BD4"/>
    <w:rsid w:val="00A04C34"/>
    <w:rsid w:val="00A05A16"/>
    <w:rsid w:val="00A13489"/>
    <w:rsid w:val="00A149AD"/>
    <w:rsid w:val="00A17CFA"/>
    <w:rsid w:val="00A17F65"/>
    <w:rsid w:val="00A20610"/>
    <w:rsid w:val="00A21D55"/>
    <w:rsid w:val="00A21ECC"/>
    <w:rsid w:val="00A235CB"/>
    <w:rsid w:val="00A26A71"/>
    <w:rsid w:val="00A32453"/>
    <w:rsid w:val="00A333A9"/>
    <w:rsid w:val="00A3368F"/>
    <w:rsid w:val="00A34C2D"/>
    <w:rsid w:val="00A36BF7"/>
    <w:rsid w:val="00A40175"/>
    <w:rsid w:val="00A4057D"/>
    <w:rsid w:val="00A43029"/>
    <w:rsid w:val="00A43A1C"/>
    <w:rsid w:val="00A4403E"/>
    <w:rsid w:val="00A446E2"/>
    <w:rsid w:val="00A44B11"/>
    <w:rsid w:val="00A45600"/>
    <w:rsid w:val="00A46049"/>
    <w:rsid w:val="00A46183"/>
    <w:rsid w:val="00A50867"/>
    <w:rsid w:val="00A533BA"/>
    <w:rsid w:val="00A563A9"/>
    <w:rsid w:val="00A62265"/>
    <w:rsid w:val="00A62CD0"/>
    <w:rsid w:val="00A6325A"/>
    <w:rsid w:val="00A634C5"/>
    <w:rsid w:val="00A64F5A"/>
    <w:rsid w:val="00A65AAC"/>
    <w:rsid w:val="00A7079E"/>
    <w:rsid w:val="00A71214"/>
    <w:rsid w:val="00A72B9E"/>
    <w:rsid w:val="00A73F97"/>
    <w:rsid w:val="00A756CA"/>
    <w:rsid w:val="00A75B13"/>
    <w:rsid w:val="00A75F9E"/>
    <w:rsid w:val="00A83C27"/>
    <w:rsid w:val="00A84EE8"/>
    <w:rsid w:val="00A860EC"/>
    <w:rsid w:val="00A87780"/>
    <w:rsid w:val="00A90B5B"/>
    <w:rsid w:val="00A9371D"/>
    <w:rsid w:val="00A93785"/>
    <w:rsid w:val="00A94B6F"/>
    <w:rsid w:val="00A95F66"/>
    <w:rsid w:val="00A95FE0"/>
    <w:rsid w:val="00A97EBD"/>
    <w:rsid w:val="00AA08B3"/>
    <w:rsid w:val="00AA3A3A"/>
    <w:rsid w:val="00AA3CEC"/>
    <w:rsid w:val="00AA3D04"/>
    <w:rsid w:val="00AA4475"/>
    <w:rsid w:val="00AA667E"/>
    <w:rsid w:val="00AA68AB"/>
    <w:rsid w:val="00AB01B6"/>
    <w:rsid w:val="00AB0230"/>
    <w:rsid w:val="00AB03DE"/>
    <w:rsid w:val="00AB3485"/>
    <w:rsid w:val="00AB37B5"/>
    <w:rsid w:val="00AB4EE7"/>
    <w:rsid w:val="00AB529F"/>
    <w:rsid w:val="00AB5718"/>
    <w:rsid w:val="00AB5BA8"/>
    <w:rsid w:val="00AB7033"/>
    <w:rsid w:val="00AB73CF"/>
    <w:rsid w:val="00AB746C"/>
    <w:rsid w:val="00AB76A1"/>
    <w:rsid w:val="00AC36A5"/>
    <w:rsid w:val="00AC3DB3"/>
    <w:rsid w:val="00AC3ED5"/>
    <w:rsid w:val="00AC4BE4"/>
    <w:rsid w:val="00AC56BA"/>
    <w:rsid w:val="00AD01EB"/>
    <w:rsid w:val="00AD4585"/>
    <w:rsid w:val="00AD46E9"/>
    <w:rsid w:val="00AD5990"/>
    <w:rsid w:val="00AD607C"/>
    <w:rsid w:val="00AE0803"/>
    <w:rsid w:val="00AE1EBF"/>
    <w:rsid w:val="00AE4DBD"/>
    <w:rsid w:val="00AF09D0"/>
    <w:rsid w:val="00AF12A4"/>
    <w:rsid w:val="00AF12C3"/>
    <w:rsid w:val="00AF167D"/>
    <w:rsid w:val="00AF3738"/>
    <w:rsid w:val="00AF4E9A"/>
    <w:rsid w:val="00AF763A"/>
    <w:rsid w:val="00B0126F"/>
    <w:rsid w:val="00B01A57"/>
    <w:rsid w:val="00B01ECD"/>
    <w:rsid w:val="00B0242D"/>
    <w:rsid w:val="00B02542"/>
    <w:rsid w:val="00B046AE"/>
    <w:rsid w:val="00B058E0"/>
    <w:rsid w:val="00B06FC1"/>
    <w:rsid w:val="00B07699"/>
    <w:rsid w:val="00B12531"/>
    <w:rsid w:val="00B13612"/>
    <w:rsid w:val="00B144F8"/>
    <w:rsid w:val="00B15544"/>
    <w:rsid w:val="00B173BE"/>
    <w:rsid w:val="00B174E2"/>
    <w:rsid w:val="00B224B8"/>
    <w:rsid w:val="00B2468E"/>
    <w:rsid w:val="00B2471B"/>
    <w:rsid w:val="00B278A5"/>
    <w:rsid w:val="00B307DA"/>
    <w:rsid w:val="00B30961"/>
    <w:rsid w:val="00B31802"/>
    <w:rsid w:val="00B31DD3"/>
    <w:rsid w:val="00B339B4"/>
    <w:rsid w:val="00B33B4A"/>
    <w:rsid w:val="00B414FC"/>
    <w:rsid w:val="00B41CDE"/>
    <w:rsid w:val="00B41D68"/>
    <w:rsid w:val="00B42346"/>
    <w:rsid w:val="00B42E00"/>
    <w:rsid w:val="00B43099"/>
    <w:rsid w:val="00B43F94"/>
    <w:rsid w:val="00B46E44"/>
    <w:rsid w:val="00B47897"/>
    <w:rsid w:val="00B50A89"/>
    <w:rsid w:val="00B52ECE"/>
    <w:rsid w:val="00B533AD"/>
    <w:rsid w:val="00B543F7"/>
    <w:rsid w:val="00B552DC"/>
    <w:rsid w:val="00B5533D"/>
    <w:rsid w:val="00B5581F"/>
    <w:rsid w:val="00B61BC7"/>
    <w:rsid w:val="00B62C89"/>
    <w:rsid w:val="00B636FC"/>
    <w:rsid w:val="00B64BC8"/>
    <w:rsid w:val="00B65C06"/>
    <w:rsid w:val="00B670D3"/>
    <w:rsid w:val="00B67B30"/>
    <w:rsid w:val="00B70F5B"/>
    <w:rsid w:val="00B71C04"/>
    <w:rsid w:val="00B7213B"/>
    <w:rsid w:val="00B72489"/>
    <w:rsid w:val="00B728C5"/>
    <w:rsid w:val="00B76E30"/>
    <w:rsid w:val="00B76F0F"/>
    <w:rsid w:val="00B81091"/>
    <w:rsid w:val="00B82A3E"/>
    <w:rsid w:val="00B837C4"/>
    <w:rsid w:val="00B848BB"/>
    <w:rsid w:val="00B84FDB"/>
    <w:rsid w:val="00B87C5C"/>
    <w:rsid w:val="00B87DCE"/>
    <w:rsid w:val="00B9041B"/>
    <w:rsid w:val="00B9264D"/>
    <w:rsid w:val="00B93912"/>
    <w:rsid w:val="00B9463A"/>
    <w:rsid w:val="00BA46D9"/>
    <w:rsid w:val="00BA5D5A"/>
    <w:rsid w:val="00BA638C"/>
    <w:rsid w:val="00BB076A"/>
    <w:rsid w:val="00BB304D"/>
    <w:rsid w:val="00BB313C"/>
    <w:rsid w:val="00BB65DC"/>
    <w:rsid w:val="00BB7963"/>
    <w:rsid w:val="00BC1B58"/>
    <w:rsid w:val="00BC2F35"/>
    <w:rsid w:val="00BC4968"/>
    <w:rsid w:val="00BC7C6D"/>
    <w:rsid w:val="00BD2D91"/>
    <w:rsid w:val="00BD3E82"/>
    <w:rsid w:val="00BD4F0D"/>
    <w:rsid w:val="00BE2B1D"/>
    <w:rsid w:val="00BE531B"/>
    <w:rsid w:val="00BE72DF"/>
    <w:rsid w:val="00BE761A"/>
    <w:rsid w:val="00BF0541"/>
    <w:rsid w:val="00BF0641"/>
    <w:rsid w:val="00BF0FDD"/>
    <w:rsid w:val="00BF1145"/>
    <w:rsid w:val="00BF3A80"/>
    <w:rsid w:val="00BF5AE2"/>
    <w:rsid w:val="00BF74CC"/>
    <w:rsid w:val="00BF7806"/>
    <w:rsid w:val="00C00D18"/>
    <w:rsid w:val="00C04DE2"/>
    <w:rsid w:val="00C067FB"/>
    <w:rsid w:val="00C068A5"/>
    <w:rsid w:val="00C06F71"/>
    <w:rsid w:val="00C07E48"/>
    <w:rsid w:val="00C10229"/>
    <w:rsid w:val="00C1541E"/>
    <w:rsid w:val="00C15986"/>
    <w:rsid w:val="00C17A48"/>
    <w:rsid w:val="00C17BB3"/>
    <w:rsid w:val="00C20A8E"/>
    <w:rsid w:val="00C20AE1"/>
    <w:rsid w:val="00C21969"/>
    <w:rsid w:val="00C242B2"/>
    <w:rsid w:val="00C249E3"/>
    <w:rsid w:val="00C30722"/>
    <w:rsid w:val="00C30FE4"/>
    <w:rsid w:val="00C35E96"/>
    <w:rsid w:val="00C446B4"/>
    <w:rsid w:val="00C47D8C"/>
    <w:rsid w:val="00C553AA"/>
    <w:rsid w:val="00C55407"/>
    <w:rsid w:val="00C556F5"/>
    <w:rsid w:val="00C5763C"/>
    <w:rsid w:val="00C615C6"/>
    <w:rsid w:val="00C62865"/>
    <w:rsid w:val="00C632F3"/>
    <w:rsid w:val="00C657EF"/>
    <w:rsid w:val="00C65EA3"/>
    <w:rsid w:val="00C66A01"/>
    <w:rsid w:val="00C707BA"/>
    <w:rsid w:val="00C71679"/>
    <w:rsid w:val="00C71EFE"/>
    <w:rsid w:val="00C74FE8"/>
    <w:rsid w:val="00C75740"/>
    <w:rsid w:val="00C76704"/>
    <w:rsid w:val="00C8118C"/>
    <w:rsid w:val="00C825BD"/>
    <w:rsid w:val="00C8526F"/>
    <w:rsid w:val="00C85654"/>
    <w:rsid w:val="00C910B5"/>
    <w:rsid w:val="00C91496"/>
    <w:rsid w:val="00C91F44"/>
    <w:rsid w:val="00C940D2"/>
    <w:rsid w:val="00C9470F"/>
    <w:rsid w:val="00C9524A"/>
    <w:rsid w:val="00C95ECB"/>
    <w:rsid w:val="00CA05CC"/>
    <w:rsid w:val="00CA28DF"/>
    <w:rsid w:val="00CA2AC7"/>
    <w:rsid w:val="00CA6416"/>
    <w:rsid w:val="00CB089D"/>
    <w:rsid w:val="00CB0EF7"/>
    <w:rsid w:val="00CB6442"/>
    <w:rsid w:val="00CB6839"/>
    <w:rsid w:val="00CB6C14"/>
    <w:rsid w:val="00CB774E"/>
    <w:rsid w:val="00CC3339"/>
    <w:rsid w:val="00CC36A4"/>
    <w:rsid w:val="00CC5CE8"/>
    <w:rsid w:val="00CC7EF8"/>
    <w:rsid w:val="00CD14FE"/>
    <w:rsid w:val="00CD16F9"/>
    <w:rsid w:val="00CD3708"/>
    <w:rsid w:val="00CD3A91"/>
    <w:rsid w:val="00CD506B"/>
    <w:rsid w:val="00CD7CD0"/>
    <w:rsid w:val="00CE0F48"/>
    <w:rsid w:val="00CE1BC6"/>
    <w:rsid w:val="00CE3EFC"/>
    <w:rsid w:val="00CE5D3B"/>
    <w:rsid w:val="00CE797F"/>
    <w:rsid w:val="00CE7F4E"/>
    <w:rsid w:val="00CF3DE4"/>
    <w:rsid w:val="00CF47F4"/>
    <w:rsid w:val="00CF7650"/>
    <w:rsid w:val="00D004D6"/>
    <w:rsid w:val="00D00949"/>
    <w:rsid w:val="00D013BE"/>
    <w:rsid w:val="00D031CB"/>
    <w:rsid w:val="00D069C3"/>
    <w:rsid w:val="00D110A1"/>
    <w:rsid w:val="00D111F6"/>
    <w:rsid w:val="00D113AF"/>
    <w:rsid w:val="00D11AEB"/>
    <w:rsid w:val="00D13937"/>
    <w:rsid w:val="00D13AAD"/>
    <w:rsid w:val="00D165BD"/>
    <w:rsid w:val="00D166D6"/>
    <w:rsid w:val="00D230ED"/>
    <w:rsid w:val="00D23C20"/>
    <w:rsid w:val="00D255C7"/>
    <w:rsid w:val="00D272C5"/>
    <w:rsid w:val="00D273AF"/>
    <w:rsid w:val="00D31208"/>
    <w:rsid w:val="00D315E9"/>
    <w:rsid w:val="00D31F13"/>
    <w:rsid w:val="00D33BEF"/>
    <w:rsid w:val="00D3435C"/>
    <w:rsid w:val="00D3664D"/>
    <w:rsid w:val="00D377CD"/>
    <w:rsid w:val="00D37B7D"/>
    <w:rsid w:val="00D4178F"/>
    <w:rsid w:val="00D42B29"/>
    <w:rsid w:val="00D43441"/>
    <w:rsid w:val="00D436F0"/>
    <w:rsid w:val="00D44A37"/>
    <w:rsid w:val="00D44D9C"/>
    <w:rsid w:val="00D4556E"/>
    <w:rsid w:val="00D45C1E"/>
    <w:rsid w:val="00D50EAC"/>
    <w:rsid w:val="00D559E4"/>
    <w:rsid w:val="00D5721E"/>
    <w:rsid w:val="00D60B34"/>
    <w:rsid w:val="00D61B2B"/>
    <w:rsid w:val="00D61BE2"/>
    <w:rsid w:val="00D63D7A"/>
    <w:rsid w:val="00D65315"/>
    <w:rsid w:val="00D65DC1"/>
    <w:rsid w:val="00D66D4B"/>
    <w:rsid w:val="00D726F8"/>
    <w:rsid w:val="00D73402"/>
    <w:rsid w:val="00D73700"/>
    <w:rsid w:val="00D742D8"/>
    <w:rsid w:val="00D7554B"/>
    <w:rsid w:val="00D75EAA"/>
    <w:rsid w:val="00D763FD"/>
    <w:rsid w:val="00D81912"/>
    <w:rsid w:val="00D81C9F"/>
    <w:rsid w:val="00D83A95"/>
    <w:rsid w:val="00D84ED1"/>
    <w:rsid w:val="00D86C6F"/>
    <w:rsid w:val="00D875B2"/>
    <w:rsid w:val="00D87665"/>
    <w:rsid w:val="00D87D8D"/>
    <w:rsid w:val="00D9106E"/>
    <w:rsid w:val="00D934A9"/>
    <w:rsid w:val="00D93CA1"/>
    <w:rsid w:val="00D96335"/>
    <w:rsid w:val="00DA7D06"/>
    <w:rsid w:val="00DB0A8E"/>
    <w:rsid w:val="00DB26A2"/>
    <w:rsid w:val="00DB3343"/>
    <w:rsid w:val="00DB41E4"/>
    <w:rsid w:val="00DB5475"/>
    <w:rsid w:val="00DB587E"/>
    <w:rsid w:val="00DB732E"/>
    <w:rsid w:val="00DC1B21"/>
    <w:rsid w:val="00DC308F"/>
    <w:rsid w:val="00DC390D"/>
    <w:rsid w:val="00DC3C43"/>
    <w:rsid w:val="00DC6B75"/>
    <w:rsid w:val="00DC7F8A"/>
    <w:rsid w:val="00DD123A"/>
    <w:rsid w:val="00DD59C0"/>
    <w:rsid w:val="00DD72C8"/>
    <w:rsid w:val="00DE063A"/>
    <w:rsid w:val="00DE1392"/>
    <w:rsid w:val="00DE3603"/>
    <w:rsid w:val="00DE5AB8"/>
    <w:rsid w:val="00DE6308"/>
    <w:rsid w:val="00DE65A9"/>
    <w:rsid w:val="00DE6A81"/>
    <w:rsid w:val="00DE6EEF"/>
    <w:rsid w:val="00DF2F05"/>
    <w:rsid w:val="00DF448C"/>
    <w:rsid w:val="00DF6490"/>
    <w:rsid w:val="00DF725D"/>
    <w:rsid w:val="00DF7C96"/>
    <w:rsid w:val="00E0257E"/>
    <w:rsid w:val="00E041BD"/>
    <w:rsid w:val="00E050E0"/>
    <w:rsid w:val="00E073A2"/>
    <w:rsid w:val="00E1105A"/>
    <w:rsid w:val="00E1138F"/>
    <w:rsid w:val="00E1178A"/>
    <w:rsid w:val="00E12BFD"/>
    <w:rsid w:val="00E14C54"/>
    <w:rsid w:val="00E14F36"/>
    <w:rsid w:val="00E162B8"/>
    <w:rsid w:val="00E165B7"/>
    <w:rsid w:val="00E20755"/>
    <w:rsid w:val="00E20CD8"/>
    <w:rsid w:val="00E224F1"/>
    <w:rsid w:val="00E2317B"/>
    <w:rsid w:val="00E233FA"/>
    <w:rsid w:val="00E316D0"/>
    <w:rsid w:val="00E32C62"/>
    <w:rsid w:val="00E34076"/>
    <w:rsid w:val="00E34BFF"/>
    <w:rsid w:val="00E40730"/>
    <w:rsid w:val="00E41068"/>
    <w:rsid w:val="00E43222"/>
    <w:rsid w:val="00E43F84"/>
    <w:rsid w:val="00E44031"/>
    <w:rsid w:val="00E4565E"/>
    <w:rsid w:val="00E521D6"/>
    <w:rsid w:val="00E52A91"/>
    <w:rsid w:val="00E53DEF"/>
    <w:rsid w:val="00E541EB"/>
    <w:rsid w:val="00E543CF"/>
    <w:rsid w:val="00E56307"/>
    <w:rsid w:val="00E57490"/>
    <w:rsid w:val="00E6142D"/>
    <w:rsid w:val="00E619AD"/>
    <w:rsid w:val="00E64A47"/>
    <w:rsid w:val="00E65075"/>
    <w:rsid w:val="00E6601E"/>
    <w:rsid w:val="00E66F29"/>
    <w:rsid w:val="00E671CB"/>
    <w:rsid w:val="00E70238"/>
    <w:rsid w:val="00E73451"/>
    <w:rsid w:val="00E741BB"/>
    <w:rsid w:val="00E758F3"/>
    <w:rsid w:val="00E760C7"/>
    <w:rsid w:val="00E80969"/>
    <w:rsid w:val="00E81C07"/>
    <w:rsid w:val="00E85093"/>
    <w:rsid w:val="00E86218"/>
    <w:rsid w:val="00E87067"/>
    <w:rsid w:val="00E87636"/>
    <w:rsid w:val="00E902BD"/>
    <w:rsid w:val="00E917C2"/>
    <w:rsid w:val="00E91D3B"/>
    <w:rsid w:val="00EA0750"/>
    <w:rsid w:val="00EA1385"/>
    <w:rsid w:val="00EA5018"/>
    <w:rsid w:val="00EA57C8"/>
    <w:rsid w:val="00EA6DBB"/>
    <w:rsid w:val="00EB191B"/>
    <w:rsid w:val="00EB4B65"/>
    <w:rsid w:val="00EB65FE"/>
    <w:rsid w:val="00EC2EB9"/>
    <w:rsid w:val="00EC3088"/>
    <w:rsid w:val="00EC3240"/>
    <w:rsid w:val="00EC36B8"/>
    <w:rsid w:val="00EC3D39"/>
    <w:rsid w:val="00EC596C"/>
    <w:rsid w:val="00EC5D99"/>
    <w:rsid w:val="00ED5FE8"/>
    <w:rsid w:val="00ED79A3"/>
    <w:rsid w:val="00ED7D58"/>
    <w:rsid w:val="00EE2D63"/>
    <w:rsid w:val="00EE30EC"/>
    <w:rsid w:val="00EE5590"/>
    <w:rsid w:val="00EE5F33"/>
    <w:rsid w:val="00EE67B6"/>
    <w:rsid w:val="00EF30DB"/>
    <w:rsid w:val="00EF312A"/>
    <w:rsid w:val="00EF3F91"/>
    <w:rsid w:val="00EF400B"/>
    <w:rsid w:val="00EF51DE"/>
    <w:rsid w:val="00EF5CE6"/>
    <w:rsid w:val="00F00D68"/>
    <w:rsid w:val="00F00FDC"/>
    <w:rsid w:val="00F023F9"/>
    <w:rsid w:val="00F06B6B"/>
    <w:rsid w:val="00F06CB0"/>
    <w:rsid w:val="00F115B8"/>
    <w:rsid w:val="00F1330E"/>
    <w:rsid w:val="00F1370C"/>
    <w:rsid w:val="00F151C3"/>
    <w:rsid w:val="00F272F8"/>
    <w:rsid w:val="00F33D43"/>
    <w:rsid w:val="00F34012"/>
    <w:rsid w:val="00F3412D"/>
    <w:rsid w:val="00F35F5D"/>
    <w:rsid w:val="00F3702B"/>
    <w:rsid w:val="00F4176C"/>
    <w:rsid w:val="00F43C06"/>
    <w:rsid w:val="00F44827"/>
    <w:rsid w:val="00F4587B"/>
    <w:rsid w:val="00F47783"/>
    <w:rsid w:val="00F5198F"/>
    <w:rsid w:val="00F51A85"/>
    <w:rsid w:val="00F53F93"/>
    <w:rsid w:val="00F542DF"/>
    <w:rsid w:val="00F54FBA"/>
    <w:rsid w:val="00F559CD"/>
    <w:rsid w:val="00F55AC5"/>
    <w:rsid w:val="00F56FA3"/>
    <w:rsid w:val="00F62B90"/>
    <w:rsid w:val="00F63F5B"/>
    <w:rsid w:val="00F64E6F"/>
    <w:rsid w:val="00F6509B"/>
    <w:rsid w:val="00F66CFE"/>
    <w:rsid w:val="00F70F1E"/>
    <w:rsid w:val="00F71C7F"/>
    <w:rsid w:val="00F74723"/>
    <w:rsid w:val="00F76D2E"/>
    <w:rsid w:val="00F8044C"/>
    <w:rsid w:val="00F8150C"/>
    <w:rsid w:val="00F81533"/>
    <w:rsid w:val="00F8283C"/>
    <w:rsid w:val="00F85BDA"/>
    <w:rsid w:val="00F85D99"/>
    <w:rsid w:val="00F86500"/>
    <w:rsid w:val="00F867FC"/>
    <w:rsid w:val="00F95038"/>
    <w:rsid w:val="00F951FB"/>
    <w:rsid w:val="00FA46D9"/>
    <w:rsid w:val="00FA49F4"/>
    <w:rsid w:val="00FA58AC"/>
    <w:rsid w:val="00FA78B9"/>
    <w:rsid w:val="00FB0FC9"/>
    <w:rsid w:val="00FB1C60"/>
    <w:rsid w:val="00FB40C2"/>
    <w:rsid w:val="00FB7681"/>
    <w:rsid w:val="00FC1F26"/>
    <w:rsid w:val="00FC2FB6"/>
    <w:rsid w:val="00FC6C08"/>
    <w:rsid w:val="00FC76A9"/>
    <w:rsid w:val="00FC7A0C"/>
    <w:rsid w:val="00FC7A44"/>
    <w:rsid w:val="00FD15BE"/>
    <w:rsid w:val="00FD5259"/>
    <w:rsid w:val="00FE021E"/>
    <w:rsid w:val="00FE2C57"/>
    <w:rsid w:val="00FE55C4"/>
    <w:rsid w:val="00FE655B"/>
    <w:rsid w:val="00FE671D"/>
    <w:rsid w:val="00FE678A"/>
    <w:rsid w:val="00FE7353"/>
    <w:rsid w:val="00FF2060"/>
    <w:rsid w:val="00FF2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sz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Rozloendokumentu1">
    <w:name w:val="Rozložení dokumentu1"/>
    <w:basedOn w:val="Normln"/>
    <w:pPr>
      <w:shd w:val="clear" w:color="auto" w:fill="000080"/>
    </w:pPr>
    <w:rPr>
      <w:rFonts w:ascii="Tahoma" w:hAnsi="Tahoma"/>
    </w:rPr>
  </w:style>
  <w:style w:type="paragraph" w:customStyle="1" w:styleId="Zkladntext21">
    <w:name w:val="Základní text 21"/>
    <w:basedOn w:val="Normln"/>
    <w:pPr>
      <w:spacing w:before="120"/>
      <w:ind w:firstLine="851"/>
    </w:pPr>
  </w:style>
  <w:style w:type="paragraph" w:customStyle="1" w:styleId="Zkladntextodsazen21">
    <w:name w:val="Základní text odsazený 21"/>
    <w:basedOn w:val="Normln"/>
    <w:pPr>
      <w:ind w:firstLine="709"/>
    </w:pPr>
  </w:style>
  <w:style w:type="paragraph" w:styleId="Textpoznpodarou">
    <w:name w:val="footnote text"/>
    <w:basedOn w:val="Normln"/>
    <w:semiHidden/>
    <w:rPr>
      <w:sz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Zkladntext22">
    <w:name w:val="Základní text 22"/>
    <w:basedOn w:val="Normln"/>
    <w:pPr>
      <w:spacing w:before="120" w:line="360" w:lineRule="atLeast"/>
      <w:ind w:firstLine="567"/>
    </w:pPr>
  </w:style>
  <w:style w:type="character" w:customStyle="1" w:styleId="Hypertextovodkaz1">
    <w:name w:val="Hypertextový odkaz1"/>
    <w:rPr>
      <w:color w:val="0000FF"/>
      <w:u w:val="single"/>
    </w:rPr>
  </w:style>
  <w:style w:type="character" w:customStyle="1" w:styleId="Sledovanodkaz1">
    <w:name w:val="Sledovaný odkaz1"/>
    <w:rPr>
      <w:color w:val="800080"/>
      <w:u w:val="single"/>
    </w:rPr>
  </w:style>
  <w:style w:type="paragraph" w:customStyle="1" w:styleId="xl24">
    <w:name w:val="xl24"/>
    <w:basedOn w:val="Normln"/>
    <w:pPr>
      <w:spacing w:before="100" w:after="100" w:line="240" w:lineRule="auto"/>
      <w:jc w:val="left"/>
    </w:pPr>
  </w:style>
  <w:style w:type="paragraph" w:customStyle="1" w:styleId="xl25">
    <w:name w:val="xl25"/>
    <w:basedOn w:val="Normln"/>
    <w:pPr>
      <w:pBdr>
        <w:right w:val="single" w:sz="6" w:space="0" w:color="auto"/>
      </w:pBdr>
      <w:spacing w:before="100" w:after="100" w:line="240" w:lineRule="auto"/>
      <w:jc w:val="left"/>
    </w:pPr>
    <w:rPr>
      <w:b/>
    </w:rPr>
  </w:style>
  <w:style w:type="paragraph" w:customStyle="1" w:styleId="xl26">
    <w:name w:val="xl26"/>
    <w:basedOn w:val="Normln"/>
    <w:pPr>
      <w:spacing w:before="100" w:after="100" w:line="240" w:lineRule="auto"/>
      <w:jc w:val="left"/>
    </w:pPr>
    <w:rPr>
      <w:b/>
    </w:rPr>
  </w:style>
  <w:style w:type="paragraph" w:customStyle="1" w:styleId="xl27">
    <w:name w:val="xl27"/>
    <w:basedOn w:val="Normln"/>
    <w:pPr>
      <w:pBdr>
        <w:left w:val="single" w:sz="6" w:space="0" w:color="auto"/>
        <w:right w:val="single" w:sz="6" w:space="0" w:color="auto"/>
      </w:pBdr>
      <w:spacing w:before="100" w:after="100" w:line="240" w:lineRule="auto"/>
      <w:jc w:val="center"/>
    </w:pPr>
  </w:style>
  <w:style w:type="paragraph" w:customStyle="1" w:styleId="xl28">
    <w:name w:val="xl28"/>
    <w:basedOn w:val="Normln"/>
    <w:pPr>
      <w:pBdr>
        <w:bottom w:val="single" w:sz="6" w:space="0" w:color="auto"/>
      </w:pBdr>
      <w:spacing w:before="100" w:after="100" w:line="240" w:lineRule="auto"/>
      <w:jc w:val="center"/>
    </w:pPr>
  </w:style>
  <w:style w:type="paragraph" w:customStyle="1" w:styleId="xl29">
    <w:name w:val="xl29"/>
    <w:basedOn w:val="Normln"/>
    <w:pPr>
      <w:pBdr>
        <w:left w:val="single" w:sz="6" w:space="0" w:color="auto"/>
        <w:bottom w:val="single" w:sz="6" w:space="0" w:color="auto"/>
      </w:pBdr>
      <w:spacing w:before="100" w:after="100" w:line="240" w:lineRule="auto"/>
      <w:jc w:val="center"/>
    </w:pPr>
  </w:style>
  <w:style w:type="paragraph" w:customStyle="1" w:styleId="xl30">
    <w:name w:val="xl30"/>
    <w:basedOn w:val="Normln"/>
    <w:pPr>
      <w:pBdr>
        <w:left w:val="single" w:sz="6" w:space="0" w:color="auto"/>
        <w:bottom w:val="single" w:sz="6" w:space="0" w:color="auto"/>
        <w:right w:val="single" w:sz="6" w:space="0" w:color="auto"/>
      </w:pBdr>
      <w:spacing w:before="100" w:after="100" w:line="240" w:lineRule="auto"/>
      <w:jc w:val="center"/>
    </w:pPr>
  </w:style>
  <w:style w:type="paragraph" w:customStyle="1" w:styleId="xl31">
    <w:name w:val="xl31"/>
    <w:basedOn w:val="Normln"/>
    <w:pPr>
      <w:pBdr>
        <w:left w:val="single" w:sz="6" w:space="0" w:color="auto"/>
        <w:right w:val="single" w:sz="6" w:space="0" w:color="auto"/>
      </w:pBdr>
      <w:spacing w:before="100" w:after="100" w:line="240" w:lineRule="auto"/>
      <w:jc w:val="left"/>
    </w:pPr>
  </w:style>
  <w:style w:type="paragraph" w:customStyle="1" w:styleId="xl32">
    <w:name w:val="xl32"/>
    <w:basedOn w:val="Normln"/>
    <w:pPr>
      <w:pBdr>
        <w:left w:val="single" w:sz="6" w:space="0" w:color="auto"/>
        <w:bottom w:val="single" w:sz="6" w:space="0" w:color="auto"/>
        <w:right w:val="single" w:sz="6" w:space="0" w:color="auto"/>
      </w:pBdr>
      <w:spacing w:before="100" w:after="100" w:line="240" w:lineRule="auto"/>
      <w:jc w:val="left"/>
    </w:pPr>
  </w:style>
  <w:style w:type="paragraph" w:customStyle="1" w:styleId="xl33">
    <w:name w:val="xl33"/>
    <w:basedOn w:val="Normln"/>
    <w:pPr>
      <w:pBdr>
        <w:left w:val="single" w:sz="6" w:space="0" w:color="auto"/>
        <w:bottom w:val="single" w:sz="6" w:space="0" w:color="auto"/>
        <w:right w:val="single" w:sz="6" w:space="0" w:color="auto"/>
      </w:pBdr>
      <w:spacing w:before="100" w:after="100" w:line="240" w:lineRule="auto"/>
      <w:jc w:val="center"/>
    </w:pPr>
  </w:style>
  <w:style w:type="paragraph" w:customStyle="1" w:styleId="xl34">
    <w:name w:val="xl34"/>
    <w:basedOn w:val="Normln"/>
    <w:pPr>
      <w:pBdr>
        <w:left w:val="single" w:sz="6" w:space="0" w:color="auto"/>
        <w:bottom w:val="single" w:sz="6" w:space="0" w:color="auto"/>
      </w:pBdr>
      <w:spacing w:before="100" w:after="100" w:line="240" w:lineRule="auto"/>
      <w:jc w:val="center"/>
    </w:pPr>
  </w:style>
  <w:style w:type="paragraph" w:customStyle="1" w:styleId="xl35">
    <w:name w:val="xl35"/>
    <w:basedOn w:val="Normln"/>
    <w:pPr>
      <w:pBdr>
        <w:left w:val="single" w:sz="6" w:space="0" w:color="auto"/>
        <w:right w:val="single" w:sz="6" w:space="0" w:color="auto"/>
      </w:pBdr>
      <w:spacing w:before="100" w:after="100" w:line="240" w:lineRule="auto"/>
      <w:jc w:val="left"/>
    </w:pPr>
    <w:rPr>
      <w:rFonts w:ascii="Arial Unicode MS" w:eastAsia="Arial Unicode MS"/>
    </w:rPr>
  </w:style>
  <w:style w:type="paragraph" w:customStyle="1" w:styleId="xl36">
    <w:name w:val="xl36"/>
    <w:basedOn w:val="Normln"/>
    <w:pPr>
      <w:pBdr>
        <w:left w:val="single" w:sz="6" w:space="0" w:color="auto"/>
        <w:right w:val="single" w:sz="6" w:space="0" w:color="auto"/>
      </w:pBdr>
      <w:spacing w:before="100" w:after="100" w:line="240" w:lineRule="auto"/>
      <w:jc w:val="left"/>
    </w:pPr>
    <w:rPr>
      <w:rFonts w:ascii="Arial Unicode MS" w:eastAsia="Arial Unicode MS"/>
    </w:rPr>
  </w:style>
  <w:style w:type="paragraph" w:customStyle="1" w:styleId="xl37">
    <w:name w:val="xl37"/>
    <w:basedOn w:val="Normln"/>
    <w:pPr>
      <w:pBdr>
        <w:top w:val="single" w:sz="6" w:space="0" w:color="auto"/>
        <w:left w:val="single" w:sz="6" w:space="0" w:color="auto"/>
        <w:right w:val="single" w:sz="6" w:space="0" w:color="auto"/>
      </w:pBdr>
      <w:spacing w:before="100" w:after="100" w:line="240" w:lineRule="auto"/>
      <w:jc w:val="center"/>
    </w:pPr>
  </w:style>
  <w:style w:type="paragraph" w:customStyle="1" w:styleId="xl38">
    <w:name w:val="xl38"/>
    <w:basedOn w:val="Normln"/>
    <w:pPr>
      <w:pBdr>
        <w:left w:val="single" w:sz="6" w:space="0" w:color="auto"/>
        <w:bottom w:val="single" w:sz="6" w:space="0" w:color="auto"/>
        <w:right w:val="single" w:sz="6" w:space="0" w:color="auto"/>
      </w:pBdr>
      <w:spacing w:before="100" w:after="100" w:line="240" w:lineRule="auto"/>
      <w:jc w:val="left"/>
    </w:pPr>
    <w:rPr>
      <w:rFonts w:ascii="Arial Unicode MS" w:eastAsia="Arial Unicode MS"/>
    </w:rPr>
  </w:style>
  <w:style w:type="paragraph" w:customStyle="1" w:styleId="xl39">
    <w:name w:val="xl39"/>
    <w:basedOn w:val="Normln"/>
    <w:pPr>
      <w:pBdr>
        <w:left w:val="single" w:sz="6" w:space="0" w:color="auto"/>
        <w:bottom w:val="single" w:sz="6" w:space="0" w:color="auto"/>
        <w:right w:val="single" w:sz="6" w:space="0" w:color="auto"/>
      </w:pBdr>
      <w:spacing w:before="100" w:after="100" w:line="240" w:lineRule="auto"/>
      <w:jc w:val="left"/>
    </w:pPr>
    <w:rPr>
      <w:rFonts w:ascii="Arial Unicode MS" w:eastAsia="Arial Unicode MS"/>
    </w:rPr>
  </w:style>
  <w:style w:type="paragraph" w:customStyle="1" w:styleId="xl40">
    <w:name w:val="xl40"/>
    <w:basedOn w:val="Normln"/>
    <w:pPr>
      <w:pBdr>
        <w:left w:val="single" w:sz="6" w:space="0" w:color="auto"/>
        <w:bottom w:val="single" w:sz="6" w:space="0" w:color="auto"/>
        <w:right w:val="single" w:sz="6" w:space="0" w:color="auto"/>
      </w:pBdr>
      <w:spacing w:before="100" w:after="100" w:line="240" w:lineRule="auto"/>
      <w:jc w:val="center"/>
    </w:pPr>
  </w:style>
  <w:style w:type="paragraph" w:customStyle="1" w:styleId="xl41">
    <w:name w:val="xl41"/>
    <w:basedOn w:val="Normln"/>
    <w:pPr>
      <w:pBdr>
        <w:top w:val="single" w:sz="6" w:space="0" w:color="auto"/>
        <w:left w:val="single" w:sz="6" w:space="0" w:color="auto"/>
        <w:right w:val="single" w:sz="6" w:space="0" w:color="auto"/>
      </w:pBdr>
      <w:spacing w:before="100" w:after="100" w:line="240" w:lineRule="auto"/>
      <w:jc w:val="left"/>
    </w:pPr>
  </w:style>
  <w:style w:type="paragraph" w:customStyle="1" w:styleId="xl42">
    <w:name w:val="xl42"/>
    <w:basedOn w:val="Normln"/>
    <w:pPr>
      <w:pBdr>
        <w:top w:val="single" w:sz="6" w:space="0" w:color="auto"/>
        <w:left w:val="single" w:sz="6" w:space="0" w:color="auto"/>
        <w:right w:val="single" w:sz="6" w:space="0" w:color="auto"/>
      </w:pBdr>
      <w:spacing w:before="100" w:after="100" w:line="240" w:lineRule="auto"/>
      <w:jc w:val="center"/>
    </w:pPr>
  </w:style>
  <w:style w:type="paragraph" w:customStyle="1" w:styleId="xl43">
    <w:name w:val="xl43"/>
    <w:basedOn w:val="Normln"/>
    <w:pPr>
      <w:pBdr>
        <w:top w:val="single" w:sz="6" w:space="0" w:color="auto"/>
      </w:pBdr>
      <w:spacing w:before="100" w:after="100" w:line="240" w:lineRule="auto"/>
      <w:jc w:val="center"/>
    </w:pPr>
  </w:style>
  <w:style w:type="paragraph" w:customStyle="1" w:styleId="xl44">
    <w:name w:val="xl44"/>
    <w:basedOn w:val="Normln"/>
    <w:pPr>
      <w:pBdr>
        <w:top w:val="single" w:sz="6" w:space="0" w:color="auto"/>
        <w:left w:val="single" w:sz="6" w:space="0" w:color="auto"/>
        <w:right w:val="single" w:sz="6" w:space="0" w:color="auto"/>
      </w:pBdr>
      <w:spacing w:before="100" w:after="100" w:line="240" w:lineRule="auto"/>
      <w:jc w:val="center"/>
    </w:pPr>
  </w:style>
  <w:style w:type="paragraph" w:customStyle="1" w:styleId="xl45">
    <w:name w:val="xl45"/>
    <w:basedOn w:val="Normln"/>
    <w:pPr>
      <w:pBdr>
        <w:top w:val="single" w:sz="6" w:space="0" w:color="auto"/>
        <w:left w:val="single" w:sz="6" w:space="0" w:color="auto"/>
      </w:pBdr>
      <w:spacing w:before="100" w:after="100" w:line="240" w:lineRule="auto"/>
      <w:jc w:val="center"/>
    </w:pPr>
  </w:style>
  <w:style w:type="paragraph" w:customStyle="1" w:styleId="xl46">
    <w:name w:val="xl46"/>
    <w:basedOn w:val="Normln"/>
    <w:pPr>
      <w:pBdr>
        <w:left w:val="single" w:sz="6" w:space="0" w:color="auto"/>
      </w:pBdr>
      <w:spacing w:before="100" w:after="100" w:line="240" w:lineRule="auto"/>
      <w:jc w:val="left"/>
    </w:pPr>
    <w:rPr>
      <w:rFonts w:ascii="Arial Unicode MS" w:eastAsia="Arial Unicode MS"/>
    </w:rPr>
  </w:style>
  <w:style w:type="paragraph" w:customStyle="1" w:styleId="xl47">
    <w:name w:val="xl47"/>
    <w:basedOn w:val="Normln"/>
    <w:pPr>
      <w:pBdr>
        <w:left w:val="single" w:sz="6" w:space="0" w:color="auto"/>
        <w:bottom w:val="single" w:sz="6" w:space="0" w:color="auto"/>
      </w:pBdr>
      <w:spacing w:before="100" w:after="100" w:line="240" w:lineRule="auto"/>
      <w:jc w:val="left"/>
    </w:pPr>
    <w:rPr>
      <w:rFonts w:ascii="Arial Unicode MS" w:eastAsia="Arial Unicode MS"/>
    </w:rPr>
  </w:style>
  <w:style w:type="paragraph" w:customStyle="1" w:styleId="xl48">
    <w:name w:val="xl48"/>
    <w:basedOn w:val="Normln"/>
    <w:pPr>
      <w:spacing w:before="100" w:after="100" w:line="240" w:lineRule="auto"/>
      <w:jc w:val="left"/>
    </w:pPr>
    <w:rPr>
      <w:sz w:val="16"/>
    </w:rPr>
  </w:style>
  <w:style w:type="paragraph" w:customStyle="1" w:styleId="xl49">
    <w:name w:val="xl49"/>
    <w:basedOn w:val="Normln"/>
    <w:pPr>
      <w:pBdr>
        <w:top w:val="single" w:sz="6" w:space="0" w:color="auto"/>
        <w:left w:val="single" w:sz="6" w:space="0" w:color="auto"/>
      </w:pBdr>
      <w:spacing w:before="100" w:after="100" w:line="240" w:lineRule="auto"/>
      <w:jc w:val="center"/>
    </w:pPr>
  </w:style>
  <w:style w:type="paragraph" w:customStyle="1" w:styleId="xl50">
    <w:name w:val="xl50"/>
    <w:basedOn w:val="Normln"/>
    <w:pPr>
      <w:pBdr>
        <w:bottom w:val="single" w:sz="6" w:space="0" w:color="auto"/>
        <w:right w:val="single" w:sz="6" w:space="0" w:color="auto"/>
      </w:pBdr>
      <w:spacing w:before="100" w:after="100" w:line="240" w:lineRule="auto"/>
      <w:jc w:val="center"/>
    </w:pPr>
  </w:style>
  <w:style w:type="paragraph" w:customStyle="1" w:styleId="xl51">
    <w:name w:val="xl51"/>
    <w:basedOn w:val="Normln"/>
    <w:pPr>
      <w:pBdr>
        <w:left w:val="single" w:sz="6" w:space="0" w:color="auto"/>
        <w:bottom w:val="single" w:sz="6" w:space="0" w:color="auto"/>
        <w:right w:val="single" w:sz="6" w:space="0" w:color="auto"/>
      </w:pBdr>
      <w:spacing w:before="100" w:after="100" w:line="240" w:lineRule="auto"/>
      <w:jc w:val="left"/>
    </w:pPr>
    <w:rPr>
      <w:rFonts w:ascii="Arial Unicode MS" w:eastAsia="Arial Unicode MS"/>
    </w:rPr>
  </w:style>
  <w:style w:type="paragraph" w:customStyle="1" w:styleId="xl52">
    <w:name w:val="xl52"/>
    <w:basedOn w:val="Normln"/>
    <w:pPr>
      <w:pBdr>
        <w:right w:val="single" w:sz="6" w:space="0" w:color="auto"/>
      </w:pBdr>
      <w:spacing w:before="100" w:after="100" w:line="240" w:lineRule="auto"/>
      <w:jc w:val="left"/>
    </w:pPr>
    <w:rPr>
      <w:rFonts w:ascii="Arial Unicode MS" w:eastAsia="Arial Unicode MS"/>
    </w:rPr>
  </w:style>
  <w:style w:type="paragraph" w:customStyle="1" w:styleId="xl53">
    <w:name w:val="xl53"/>
    <w:basedOn w:val="Normln"/>
    <w:pPr>
      <w:pBdr>
        <w:bottom w:val="single" w:sz="6" w:space="0" w:color="auto"/>
        <w:right w:val="single" w:sz="6" w:space="0" w:color="auto"/>
      </w:pBdr>
      <w:spacing w:before="100" w:after="100" w:line="240" w:lineRule="auto"/>
      <w:jc w:val="left"/>
    </w:pPr>
    <w:rPr>
      <w:rFonts w:ascii="Arial Unicode MS" w:eastAsia="Arial Unicode MS"/>
    </w:rPr>
  </w:style>
  <w:style w:type="paragraph" w:customStyle="1" w:styleId="xl54">
    <w:name w:val="xl54"/>
    <w:basedOn w:val="Normln"/>
    <w:pPr>
      <w:pBdr>
        <w:left w:val="single" w:sz="6" w:space="0" w:color="auto"/>
        <w:bottom w:val="single" w:sz="6" w:space="0" w:color="auto"/>
      </w:pBdr>
      <w:spacing w:before="100" w:after="100" w:line="240" w:lineRule="auto"/>
      <w:jc w:val="left"/>
    </w:pPr>
    <w:rPr>
      <w:rFonts w:ascii="Arial Unicode MS" w:eastAsia="Arial Unicode MS"/>
    </w:rPr>
  </w:style>
  <w:style w:type="paragraph" w:customStyle="1" w:styleId="xl55">
    <w:name w:val="xl55"/>
    <w:basedOn w:val="Normln"/>
    <w:pPr>
      <w:pBdr>
        <w:bottom w:val="single" w:sz="6" w:space="0" w:color="auto"/>
        <w:right w:val="single" w:sz="6" w:space="0" w:color="auto"/>
      </w:pBdr>
      <w:spacing w:before="100" w:after="100" w:line="240" w:lineRule="auto"/>
      <w:jc w:val="left"/>
    </w:pPr>
    <w:rPr>
      <w:rFonts w:ascii="Arial Unicode MS" w:eastAsia="Arial Unicode MS"/>
    </w:rPr>
  </w:style>
  <w:style w:type="paragraph" w:customStyle="1" w:styleId="xl56">
    <w:name w:val="xl56"/>
    <w:basedOn w:val="Normln"/>
    <w:pPr>
      <w:pBdr>
        <w:top w:val="single" w:sz="6" w:space="0" w:color="auto"/>
        <w:right w:val="single" w:sz="6" w:space="0" w:color="auto"/>
      </w:pBdr>
      <w:spacing w:before="100" w:after="100" w:line="240" w:lineRule="auto"/>
      <w:jc w:val="center"/>
    </w:pPr>
  </w:style>
  <w:style w:type="paragraph" w:customStyle="1" w:styleId="xl57">
    <w:name w:val="xl57"/>
    <w:basedOn w:val="Normln"/>
    <w:pPr>
      <w:spacing w:before="100" w:after="100" w:line="240" w:lineRule="auto"/>
      <w:jc w:val="left"/>
    </w:pPr>
    <w:rPr>
      <w:i/>
    </w:rPr>
  </w:style>
  <w:style w:type="paragraph" w:customStyle="1" w:styleId="xl58">
    <w:name w:val="xl58"/>
    <w:basedOn w:val="Normln"/>
    <w:pPr>
      <w:pBdr>
        <w:top w:val="single" w:sz="6" w:space="0" w:color="auto"/>
        <w:left w:val="single" w:sz="6" w:space="0" w:color="auto"/>
      </w:pBdr>
      <w:spacing w:before="100" w:after="100" w:line="240" w:lineRule="auto"/>
      <w:jc w:val="center"/>
    </w:pPr>
  </w:style>
  <w:style w:type="paragraph" w:customStyle="1" w:styleId="xl59">
    <w:name w:val="xl59"/>
    <w:basedOn w:val="Normln"/>
    <w:pPr>
      <w:pBdr>
        <w:left w:val="single" w:sz="6" w:space="0" w:color="auto"/>
        <w:right w:val="single" w:sz="6" w:space="0" w:color="auto"/>
      </w:pBdr>
      <w:spacing w:before="100" w:after="100" w:line="240" w:lineRule="auto"/>
      <w:jc w:val="left"/>
    </w:pPr>
    <w:rPr>
      <w:b/>
    </w:rPr>
  </w:style>
  <w:style w:type="paragraph" w:customStyle="1" w:styleId="xl60">
    <w:name w:val="xl60"/>
    <w:basedOn w:val="Normln"/>
    <w:pPr>
      <w:pBdr>
        <w:left w:val="single" w:sz="6" w:space="0" w:color="auto"/>
        <w:right w:val="single" w:sz="6" w:space="0" w:color="auto"/>
      </w:pBdr>
      <w:spacing w:before="100" w:after="100" w:line="240" w:lineRule="auto"/>
      <w:jc w:val="left"/>
    </w:pPr>
    <w:rPr>
      <w:i/>
    </w:rPr>
  </w:style>
  <w:style w:type="paragraph" w:customStyle="1" w:styleId="xl61">
    <w:name w:val="xl61"/>
    <w:basedOn w:val="Normln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 w:line="240" w:lineRule="auto"/>
      <w:jc w:val="center"/>
    </w:pPr>
  </w:style>
  <w:style w:type="paragraph" w:customStyle="1" w:styleId="xl62">
    <w:name w:val="xl62"/>
    <w:basedOn w:val="Normln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 w:line="240" w:lineRule="auto"/>
      <w:jc w:val="center"/>
    </w:pPr>
  </w:style>
  <w:style w:type="paragraph" w:customStyle="1" w:styleId="xl63">
    <w:name w:val="xl63"/>
    <w:basedOn w:val="Normln"/>
    <w:pPr>
      <w:pBdr>
        <w:top w:val="single" w:sz="6" w:space="0" w:color="auto"/>
        <w:bottom w:val="single" w:sz="6" w:space="0" w:color="auto"/>
      </w:pBdr>
      <w:spacing w:before="100" w:after="100" w:line="240" w:lineRule="auto"/>
      <w:jc w:val="center"/>
    </w:pPr>
  </w:style>
  <w:style w:type="paragraph" w:customStyle="1" w:styleId="xl64">
    <w:name w:val="xl64"/>
    <w:basedOn w:val="Normln"/>
    <w:pPr>
      <w:pBdr>
        <w:top w:val="single" w:sz="6" w:space="0" w:color="auto"/>
        <w:bottom w:val="single" w:sz="6" w:space="0" w:color="auto"/>
        <w:right w:val="single" w:sz="6" w:space="0" w:color="auto"/>
      </w:pBdr>
      <w:spacing w:before="100" w:after="100" w:line="240" w:lineRule="auto"/>
      <w:jc w:val="center"/>
    </w:pPr>
  </w:style>
  <w:style w:type="paragraph" w:customStyle="1" w:styleId="xl65">
    <w:name w:val="xl65"/>
    <w:basedOn w:val="Normln"/>
    <w:pPr>
      <w:spacing w:before="100" w:after="100" w:line="240" w:lineRule="auto"/>
      <w:jc w:val="left"/>
    </w:pPr>
    <w:rPr>
      <w:b/>
    </w:rPr>
  </w:style>
  <w:style w:type="paragraph" w:customStyle="1" w:styleId="xl66">
    <w:name w:val="xl66"/>
    <w:basedOn w:val="Normln"/>
    <w:pPr>
      <w:pBdr>
        <w:right w:val="single" w:sz="6" w:space="0" w:color="auto"/>
      </w:pBdr>
      <w:spacing w:before="100" w:after="100" w:line="240" w:lineRule="auto"/>
      <w:jc w:val="left"/>
    </w:pPr>
    <w:rPr>
      <w:rFonts w:ascii="Arial Unicode MS" w:eastAsia="Arial Unicode MS"/>
    </w:rPr>
  </w:style>
  <w:style w:type="paragraph" w:customStyle="1" w:styleId="xl67">
    <w:name w:val="xl67"/>
    <w:basedOn w:val="Normln"/>
    <w:pPr>
      <w:spacing w:before="100" w:after="100" w:line="240" w:lineRule="auto"/>
      <w:jc w:val="left"/>
    </w:pPr>
    <w:rPr>
      <w:i/>
    </w:rPr>
  </w:style>
  <w:style w:type="paragraph" w:customStyle="1" w:styleId="xl68">
    <w:name w:val="xl68"/>
    <w:basedOn w:val="Normln"/>
    <w:pPr>
      <w:pBdr>
        <w:bottom w:val="single" w:sz="6" w:space="0" w:color="auto"/>
      </w:pBdr>
      <w:spacing w:before="100" w:after="100" w:line="240" w:lineRule="auto"/>
      <w:jc w:val="left"/>
    </w:pPr>
    <w:rPr>
      <w:rFonts w:ascii="Arial Unicode MS" w:eastAsia="Arial Unicode MS"/>
    </w:rPr>
  </w:style>
  <w:style w:type="paragraph" w:customStyle="1" w:styleId="xl69">
    <w:name w:val="xl69"/>
    <w:basedOn w:val="Normln"/>
    <w:pPr>
      <w:pBdr>
        <w:top w:val="single" w:sz="6" w:space="0" w:color="auto"/>
        <w:bottom w:val="single" w:sz="6" w:space="0" w:color="auto"/>
      </w:pBdr>
      <w:spacing w:before="100" w:after="100" w:line="240" w:lineRule="auto"/>
      <w:jc w:val="center"/>
    </w:pPr>
  </w:style>
  <w:style w:type="paragraph" w:customStyle="1" w:styleId="xl70">
    <w:name w:val="xl70"/>
    <w:basedOn w:val="Normln"/>
    <w:pPr>
      <w:spacing w:before="100" w:after="100" w:line="240" w:lineRule="auto"/>
      <w:jc w:val="left"/>
    </w:pPr>
    <w:rPr>
      <w:b/>
    </w:rPr>
  </w:style>
  <w:style w:type="paragraph" w:customStyle="1" w:styleId="xl71">
    <w:name w:val="xl71"/>
    <w:basedOn w:val="Normln"/>
    <w:pPr>
      <w:spacing w:before="100" w:after="100" w:line="240" w:lineRule="auto"/>
      <w:jc w:val="left"/>
    </w:pPr>
    <w:rPr>
      <w:i/>
    </w:rPr>
  </w:style>
  <w:style w:type="paragraph" w:customStyle="1" w:styleId="xl72">
    <w:name w:val="xl72"/>
    <w:basedOn w:val="Normln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 w:line="240" w:lineRule="auto"/>
      <w:jc w:val="center"/>
    </w:pPr>
  </w:style>
  <w:style w:type="paragraph" w:customStyle="1" w:styleId="xl73">
    <w:name w:val="xl73"/>
    <w:basedOn w:val="Normln"/>
    <w:pPr>
      <w:pBdr>
        <w:right w:val="single" w:sz="6" w:space="0" w:color="auto"/>
      </w:pBdr>
      <w:spacing w:before="100" w:after="100" w:line="240" w:lineRule="auto"/>
      <w:jc w:val="left"/>
    </w:pPr>
    <w:rPr>
      <w:b/>
    </w:rPr>
  </w:style>
  <w:style w:type="paragraph" w:customStyle="1" w:styleId="xl74">
    <w:name w:val="xl74"/>
    <w:basedOn w:val="Normln"/>
    <w:pPr>
      <w:pBdr>
        <w:right w:val="single" w:sz="6" w:space="0" w:color="auto"/>
      </w:pBdr>
      <w:spacing w:before="100" w:after="100" w:line="240" w:lineRule="auto"/>
      <w:jc w:val="left"/>
    </w:pPr>
    <w:rPr>
      <w:i/>
    </w:rPr>
  </w:style>
  <w:style w:type="paragraph" w:customStyle="1" w:styleId="xl75">
    <w:name w:val="xl75"/>
    <w:basedOn w:val="Normln"/>
    <w:pPr>
      <w:pBdr>
        <w:left w:val="single" w:sz="6" w:space="0" w:color="auto"/>
        <w:right w:val="single" w:sz="6" w:space="0" w:color="auto"/>
      </w:pBdr>
      <w:spacing w:before="100" w:after="100" w:line="240" w:lineRule="auto"/>
      <w:jc w:val="left"/>
    </w:pPr>
    <w:rPr>
      <w:b/>
    </w:rPr>
  </w:style>
  <w:style w:type="paragraph" w:customStyle="1" w:styleId="xl76">
    <w:name w:val="xl76"/>
    <w:basedOn w:val="Normln"/>
    <w:pPr>
      <w:spacing w:before="100" w:after="100" w:line="240" w:lineRule="auto"/>
      <w:jc w:val="right"/>
    </w:pPr>
    <w:rPr>
      <w:i/>
    </w:rPr>
  </w:style>
  <w:style w:type="paragraph" w:customStyle="1" w:styleId="xl77">
    <w:name w:val="xl77"/>
    <w:basedOn w:val="Normln"/>
    <w:pPr>
      <w:spacing w:before="100" w:after="100" w:line="240" w:lineRule="auto"/>
      <w:jc w:val="right"/>
    </w:pPr>
    <w:rPr>
      <w:b/>
    </w:rPr>
  </w:style>
  <w:style w:type="paragraph" w:customStyle="1" w:styleId="xl78">
    <w:name w:val="xl78"/>
    <w:basedOn w:val="Normln"/>
    <w:pPr>
      <w:pBdr>
        <w:top w:val="single" w:sz="6" w:space="0" w:color="auto"/>
        <w:left w:val="single" w:sz="6" w:space="0" w:color="auto"/>
        <w:bottom w:val="single" w:sz="6" w:space="0" w:color="auto"/>
      </w:pBdr>
      <w:spacing w:before="100" w:after="100" w:line="240" w:lineRule="auto"/>
      <w:jc w:val="center"/>
    </w:pPr>
  </w:style>
  <w:style w:type="paragraph" w:customStyle="1" w:styleId="xl79">
    <w:name w:val="xl79"/>
    <w:basedOn w:val="Normln"/>
    <w:pPr>
      <w:pBdr>
        <w:left w:val="single" w:sz="6" w:space="0" w:color="auto"/>
      </w:pBdr>
      <w:spacing w:before="100" w:after="100" w:line="240" w:lineRule="auto"/>
      <w:jc w:val="left"/>
    </w:pPr>
    <w:rPr>
      <w:b/>
    </w:rPr>
  </w:style>
  <w:style w:type="paragraph" w:customStyle="1" w:styleId="xl80">
    <w:name w:val="xl80"/>
    <w:basedOn w:val="Normln"/>
    <w:pPr>
      <w:pBdr>
        <w:left w:val="single" w:sz="6" w:space="0" w:color="auto"/>
      </w:pBdr>
      <w:spacing w:before="100" w:after="100" w:line="240" w:lineRule="auto"/>
      <w:jc w:val="left"/>
    </w:pPr>
    <w:rPr>
      <w:i/>
    </w:rPr>
  </w:style>
  <w:style w:type="paragraph" w:customStyle="1" w:styleId="xl81">
    <w:name w:val="xl81"/>
    <w:basedOn w:val="Normln"/>
    <w:pPr>
      <w:pBdr>
        <w:top w:val="single" w:sz="6" w:space="0" w:color="auto"/>
        <w:bottom w:val="single" w:sz="6" w:space="0" w:color="auto"/>
        <w:right w:val="single" w:sz="6" w:space="0" w:color="auto"/>
      </w:pBdr>
      <w:spacing w:before="100" w:after="100" w:line="240" w:lineRule="auto"/>
      <w:jc w:val="center"/>
    </w:pPr>
  </w:style>
  <w:style w:type="paragraph" w:customStyle="1" w:styleId="xl82">
    <w:name w:val="xl82"/>
    <w:basedOn w:val="Normln"/>
    <w:pPr>
      <w:pBdr>
        <w:top w:val="single" w:sz="6" w:space="0" w:color="auto"/>
        <w:left w:val="single" w:sz="6" w:space="0" w:color="auto"/>
        <w:bottom w:val="single" w:sz="6" w:space="0" w:color="auto"/>
      </w:pBdr>
      <w:spacing w:before="100" w:after="100" w:line="240" w:lineRule="auto"/>
      <w:jc w:val="left"/>
    </w:pPr>
  </w:style>
  <w:style w:type="paragraph" w:customStyle="1" w:styleId="xl83">
    <w:name w:val="xl83"/>
    <w:basedOn w:val="Normln"/>
    <w:pPr>
      <w:pBdr>
        <w:top w:val="single" w:sz="6" w:space="0" w:color="auto"/>
        <w:bottom w:val="single" w:sz="6" w:space="0" w:color="auto"/>
      </w:pBdr>
      <w:spacing w:before="100" w:after="100" w:line="240" w:lineRule="auto"/>
      <w:jc w:val="left"/>
    </w:pPr>
  </w:style>
  <w:style w:type="paragraph" w:customStyle="1" w:styleId="xl84">
    <w:name w:val="xl84"/>
    <w:basedOn w:val="Normln"/>
    <w:pPr>
      <w:pBdr>
        <w:left w:val="single" w:sz="6" w:space="0" w:color="auto"/>
        <w:right w:val="single" w:sz="6" w:space="0" w:color="auto"/>
      </w:pBdr>
      <w:spacing w:before="100" w:after="100" w:line="240" w:lineRule="auto"/>
      <w:jc w:val="left"/>
    </w:pPr>
    <w:rPr>
      <w:b/>
      <w:i/>
    </w:rPr>
  </w:style>
  <w:style w:type="paragraph" w:customStyle="1" w:styleId="xl85">
    <w:name w:val="xl85"/>
    <w:basedOn w:val="Normln"/>
    <w:pPr>
      <w:spacing w:before="100" w:after="100" w:line="240" w:lineRule="auto"/>
      <w:jc w:val="left"/>
    </w:pPr>
  </w:style>
  <w:style w:type="paragraph" w:customStyle="1" w:styleId="xl86">
    <w:name w:val="xl86"/>
    <w:basedOn w:val="Normln"/>
    <w:pPr>
      <w:pBdr>
        <w:top w:val="single" w:sz="6" w:space="0" w:color="auto"/>
        <w:left w:val="single" w:sz="6" w:space="0" w:color="auto"/>
        <w:bottom w:val="single" w:sz="6" w:space="0" w:color="auto"/>
      </w:pBdr>
      <w:spacing w:before="100" w:after="100" w:line="240" w:lineRule="auto"/>
      <w:jc w:val="center"/>
    </w:pPr>
  </w:style>
  <w:style w:type="paragraph" w:customStyle="1" w:styleId="xl87">
    <w:name w:val="xl87"/>
    <w:basedOn w:val="Normln"/>
    <w:pPr>
      <w:pBdr>
        <w:left w:val="single" w:sz="6" w:space="0" w:color="auto"/>
      </w:pBdr>
      <w:spacing w:before="100" w:after="100" w:line="240" w:lineRule="auto"/>
      <w:jc w:val="left"/>
    </w:pPr>
    <w:rPr>
      <w:rFonts w:ascii="Arial Unicode MS" w:eastAsia="Arial Unicode MS"/>
    </w:rPr>
  </w:style>
  <w:style w:type="paragraph" w:customStyle="1" w:styleId="xl88">
    <w:name w:val="xl88"/>
    <w:basedOn w:val="Normln"/>
    <w:pPr>
      <w:pBdr>
        <w:left w:val="single" w:sz="6" w:space="0" w:color="auto"/>
      </w:pBdr>
      <w:spacing w:before="100" w:after="100" w:line="240" w:lineRule="auto"/>
      <w:jc w:val="left"/>
    </w:pPr>
    <w:rPr>
      <w:b/>
    </w:rPr>
  </w:style>
  <w:style w:type="paragraph" w:customStyle="1" w:styleId="xl89">
    <w:name w:val="xl89"/>
    <w:basedOn w:val="Normln"/>
    <w:pPr>
      <w:pBdr>
        <w:left w:val="single" w:sz="6" w:space="0" w:color="auto"/>
      </w:pBdr>
      <w:spacing w:before="100" w:after="100" w:line="240" w:lineRule="auto"/>
      <w:jc w:val="left"/>
    </w:pPr>
    <w:rPr>
      <w:i/>
    </w:rPr>
  </w:style>
  <w:style w:type="paragraph" w:customStyle="1" w:styleId="xl90">
    <w:name w:val="xl90"/>
    <w:basedOn w:val="Normln"/>
    <w:pPr>
      <w:pBdr>
        <w:left w:val="single" w:sz="6" w:space="0" w:color="auto"/>
        <w:right w:val="single" w:sz="6" w:space="0" w:color="auto"/>
      </w:pBdr>
      <w:spacing w:before="100" w:after="100" w:line="240" w:lineRule="auto"/>
      <w:jc w:val="left"/>
    </w:pPr>
    <w:rPr>
      <w:i/>
    </w:rPr>
  </w:style>
  <w:style w:type="paragraph" w:customStyle="1" w:styleId="xl91">
    <w:name w:val="xl91"/>
    <w:basedOn w:val="Normln"/>
    <w:pPr>
      <w:pBdr>
        <w:top w:val="single" w:sz="6" w:space="0" w:color="auto"/>
        <w:right w:val="single" w:sz="6" w:space="0" w:color="auto"/>
      </w:pBdr>
      <w:spacing w:before="100" w:after="100" w:line="240" w:lineRule="auto"/>
      <w:jc w:val="left"/>
    </w:pPr>
    <w:rPr>
      <w:rFonts w:ascii="Arial Unicode MS" w:eastAsia="Arial Unicode MS"/>
    </w:rPr>
  </w:style>
  <w:style w:type="paragraph" w:customStyle="1" w:styleId="xl92">
    <w:name w:val="xl92"/>
    <w:basedOn w:val="Normln"/>
    <w:pPr>
      <w:pBdr>
        <w:right w:val="single" w:sz="6" w:space="0" w:color="auto"/>
      </w:pBdr>
      <w:spacing w:before="100" w:after="100" w:line="240" w:lineRule="auto"/>
      <w:jc w:val="left"/>
    </w:pPr>
    <w:rPr>
      <w:b/>
    </w:rPr>
  </w:style>
  <w:style w:type="paragraph" w:customStyle="1" w:styleId="xl93">
    <w:name w:val="xl93"/>
    <w:basedOn w:val="Normln"/>
    <w:pPr>
      <w:pBdr>
        <w:right w:val="single" w:sz="6" w:space="0" w:color="auto"/>
      </w:pBdr>
      <w:spacing w:before="100" w:after="100" w:line="240" w:lineRule="auto"/>
      <w:jc w:val="left"/>
    </w:pPr>
    <w:rPr>
      <w:b/>
      <w:i/>
    </w:rPr>
  </w:style>
  <w:style w:type="paragraph" w:customStyle="1" w:styleId="xl94">
    <w:name w:val="xl94"/>
    <w:basedOn w:val="Normln"/>
    <w:pPr>
      <w:spacing w:before="100" w:after="100" w:line="240" w:lineRule="auto"/>
      <w:jc w:val="left"/>
    </w:pPr>
    <w:rPr>
      <w:rFonts w:ascii="Arial Unicode MS" w:eastAsia="Arial Unicode MS"/>
      <w:b/>
    </w:rPr>
  </w:style>
  <w:style w:type="paragraph" w:customStyle="1" w:styleId="xl95">
    <w:name w:val="xl95"/>
    <w:basedOn w:val="Normln"/>
    <w:pPr>
      <w:pBdr>
        <w:left w:val="single" w:sz="6" w:space="0" w:color="auto"/>
        <w:right w:val="single" w:sz="6" w:space="0" w:color="auto"/>
      </w:pBdr>
      <w:spacing w:before="100" w:after="100" w:line="240" w:lineRule="auto"/>
      <w:jc w:val="left"/>
    </w:pPr>
    <w:rPr>
      <w:rFonts w:ascii="Arial Unicode MS" w:eastAsia="Arial Unicode MS"/>
      <w:b/>
    </w:rPr>
  </w:style>
  <w:style w:type="paragraph" w:customStyle="1" w:styleId="xl96">
    <w:name w:val="xl96"/>
    <w:basedOn w:val="Normln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 w:line="240" w:lineRule="auto"/>
      <w:jc w:val="center"/>
    </w:pPr>
  </w:style>
  <w:style w:type="paragraph" w:customStyle="1" w:styleId="xl97">
    <w:name w:val="xl97"/>
    <w:basedOn w:val="Normln"/>
    <w:pPr>
      <w:pBdr>
        <w:left w:val="single" w:sz="6" w:space="0" w:color="auto"/>
        <w:right w:val="single" w:sz="6" w:space="0" w:color="auto"/>
      </w:pBdr>
      <w:spacing w:before="100" w:after="100" w:line="240" w:lineRule="auto"/>
      <w:jc w:val="left"/>
    </w:pPr>
    <w:rPr>
      <w:rFonts w:ascii="Arial Unicode MS" w:eastAsia="Arial Unicode MS"/>
    </w:rPr>
  </w:style>
  <w:style w:type="paragraph" w:customStyle="1" w:styleId="xl98">
    <w:name w:val="xl98"/>
    <w:basedOn w:val="Normln"/>
    <w:pPr>
      <w:pBdr>
        <w:left w:val="single" w:sz="6" w:space="0" w:color="auto"/>
        <w:right w:val="single" w:sz="6" w:space="0" w:color="auto"/>
      </w:pBdr>
      <w:spacing w:before="100" w:after="100" w:line="240" w:lineRule="auto"/>
      <w:jc w:val="left"/>
    </w:pPr>
    <w:rPr>
      <w:b/>
    </w:rPr>
  </w:style>
  <w:style w:type="paragraph" w:customStyle="1" w:styleId="xl99">
    <w:name w:val="xl99"/>
    <w:basedOn w:val="Normln"/>
    <w:pPr>
      <w:pBdr>
        <w:left w:val="single" w:sz="6" w:space="0" w:color="auto"/>
        <w:right w:val="single" w:sz="6" w:space="0" w:color="auto"/>
      </w:pBdr>
      <w:spacing w:before="100" w:after="100" w:line="240" w:lineRule="auto"/>
      <w:jc w:val="left"/>
    </w:pPr>
    <w:rPr>
      <w:i/>
    </w:rPr>
  </w:style>
  <w:style w:type="paragraph" w:customStyle="1" w:styleId="xl100">
    <w:name w:val="xl100"/>
    <w:basedOn w:val="Normln"/>
    <w:pPr>
      <w:pBdr>
        <w:right w:val="single" w:sz="6" w:space="0" w:color="auto"/>
      </w:pBdr>
      <w:spacing w:before="100" w:after="100" w:line="240" w:lineRule="auto"/>
      <w:jc w:val="left"/>
    </w:pPr>
    <w:rPr>
      <w:i/>
    </w:rPr>
  </w:style>
  <w:style w:type="paragraph" w:customStyle="1" w:styleId="xl101">
    <w:name w:val="xl101"/>
    <w:basedOn w:val="Normln"/>
    <w:pPr>
      <w:pBdr>
        <w:right w:val="single" w:sz="6" w:space="0" w:color="auto"/>
      </w:pBdr>
      <w:spacing w:before="100" w:after="100" w:line="240" w:lineRule="auto"/>
      <w:jc w:val="right"/>
    </w:pPr>
    <w:rPr>
      <w:i/>
    </w:rPr>
  </w:style>
  <w:style w:type="paragraph" w:customStyle="1" w:styleId="xl102">
    <w:name w:val="xl102"/>
    <w:basedOn w:val="Normln"/>
    <w:pPr>
      <w:pBdr>
        <w:right w:val="single" w:sz="6" w:space="0" w:color="auto"/>
      </w:pBdr>
      <w:spacing w:before="100" w:after="100" w:line="240" w:lineRule="auto"/>
      <w:jc w:val="right"/>
    </w:pPr>
    <w:rPr>
      <w:b/>
    </w:rPr>
  </w:style>
  <w:style w:type="paragraph" w:customStyle="1" w:styleId="xl103">
    <w:name w:val="xl103"/>
    <w:basedOn w:val="Normln"/>
    <w:pPr>
      <w:pBdr>
        <w:left w:val="single" w:sz="6" w:space="0" w:color="auto"/>
        <w:right w:val="single" w:sz="6" w:space="0" w:color="auto"/>
      </w:pBdr>
      <w:spacing w:before="100" w:after="100" w:line="240" w:lineRule="auto"/>
      <w:jc w:val="left"/>
    </w:pPr>
    <w:rPr>
      <w:i/>
    </w:rPr>
  </w:style>
  <w:style w:type="paragraph" w:customStyle="1" w:styleId="xl104">
    <w:name w:val="xl104"/>
    <w:basedOn w:val="Normln"/>
    <w:pPr>
      <w:spacing w:before="100" w:after="100" w:line="240" w:lineRule="auto"/>
      <w:jc w:val="center"/>
    </w:pPr>
    <w:rPr>
      <w:sz w:val="28"/>
    </w:rPr>
  </w:style>
  <w:style w:type="paragraph" w:customStyle="1" w:styleId="xl105">
    <w:name w:val="xl105"/>
    <w:basedOn w:val="Normln"/>
    <w:pPr>
      <w:pBdr>
        <w:top w:val="single" w:sz="6" w:space="0" w:color="auto"/>
        <w:bottom w:val="single" w:sz="6" w:space="0" w:color="auto"/>
      </w:pBdr>
      <w:spacing w:before="100" w:after="100" w:line="240" w:lineRule="auto"/>
      <w:jc w:val="center"/>
    </w:pPr>
  </w:style>
  <w:style w:type="paragraph" w:customStyle="1" w:styleId="xl106">
    <w:name w:val="xl106"/>
    <w:basedOn w:val="Normln"/>
    <w:pPr>
      <w:pBdr>
        <w:top w:val="single" w:sz="6" w:space="0" w:color="auto"/>
        <w:bottom w:val="single" w:sz="6" w:space="0" w:color="auto"/>
        <w:right w:val="single" w:sz="6" w:space="0" w:color="auto"/>
      </w:pBdr>
      <w:spacing w:before="100" w:after="100" w:line="240" w:lineRule="auto"/>
      <w:jc w:val="center"/>
    </w:pPr>
  </w:style>
  <w:style w:type="paragraph" w:customStyle="1" w:styleId="xl107">
    <w:name w:val="xl107"/>
    <w:basedOn w:val="Normln"/>
    <w:pPr>
      <w:pBdr>
        <w:top w:val="single" w:sz="6" w:space="0" w:color="auto"/>
        <w:left w:val="single" w:sz="6" w:space="0" w:color="auto"/>
        <w:bottom w:val="single" w:sz="6" w:space="0" w:color="auto"/>
      </w:pBdr>
      <w:spacing w:before="100" w:after="100" w:line="240" w:lineRule="auto"/>
      <w:jc w:val="center"/>
    </w:pPr>
  </w:style>
  <w:style w:type="paragraph" w:customStyle="1" w:styleId="xl108">
    <w:name w:val="xl108"/>
    <w:basedOn w:val="Normln"/>
    <w:pPr>
      <w:pBdr>
        <w:top w:val="single" w:sz="6" w:space="0" w:color="auto"/>
        <w:right w:val="single" w:sz="6" w:space="0" w:color="auto"/>
      </w:pBdr>
      <w:spacing w:before="100" w:after="100" w:line="240" w:lineRule="auto"/>
      <w:jc w:val="center"/>
    </w:p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  <w:sz w:val="20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1normlnpromsninformaci">
    <w:name w:val="1) normální pro měsíční informaci"/>
    <w:basedOn w:val="Zkladntext22"/>
    <w:rsid w:val="0063033C"/>
    <w:pPr>
      <w:spacing w:line="240" w:lineRule="auto"/>
      <w:ind w:firstLine="0"/>
    </w:pPr>
  </w:style>
  <w:style w:type="paragraph" w:customStyle="1" w:styleId="pramen">
    <w:name w:val="pramen"/>
    <w:basedOn w:val="Normln"/>
    <w:qFormat/>
    <w:rsid w:val="008557E8"/>
    <w:pPr>
      <w:spacing w:line="360" w:lineRule="atLeast"/>
    </w:pPr>
    <w:rPr>
      <w:i/>
    </w:rPr>
  </w:style>
  <w:style w:type="paragraph" w:customStyle="1" w:styleId="Zkladntext210">
    <w:name w:val="Základní text 21"/>
    <w:basedOn w:val="Normln"/>
    <w:rsid w:val="00A4403E"/>
    <w:pPr>
      <w:spacing w:before="120"/>
      <w:ind w:firstLine="851"/>
    </w:pPr>
  </w:style>
  <w:style w:type="character" w:styleId="Odkaznakoment">
    <w:name w:val="annotation reference"/>
    <w:basedOn w:val="Standardnpsmoodstavce"/>
    <w:uiPriority w:val="99"/>
    <w:semiHidden/>
    <w:unhideWhenUsed/>
    <w:rsid w:val="0025256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52565"/>
    <w:pPr>
      <w:spacing w:line="240" w:lineRule="auto"/>
    </w:pPr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52565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ED5FE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ED5FE8"/>
    <w:rPr>
      <w:b/>
      <w:bCs/>
    </w:rPr>
  </w:style>
  <w:style w:type="character" w:styleId="Siln">
    <w:name w:val="Strong"/>
    <w:basedOn w:val="Standardnpsmoodstavce"/>
    <w:qFormat/>
    <w:rsid w:val="006954C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sz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Rozloendokumentu1">
    <w:name w:val="Rozložení dokumentu1"/>
    <w:basedOn w:val="Normln"/>
    <w:pPr>
      <w:shd w:val="clear" w:color="auto" w:fill="000080"/>
    </w:pPr>
    <w:rPr>
      <w:rFonts w:ascii="Tahoma" w:hAnsi="Tahoma"/>
    </w:rPr>
  </w:style>
  <w:style w:type="paragraph" w:customStyle="1" w:styleId="Zkladntext21">
    <w:name w:val="Základní text 21"/>
    <w:basedOn w:val="Normln"/>
    <w:pPr>
      <w:spacing w:before="120"/>
      <w:ind w:firstLine="851"/>
    </w:pPr>
  </w:style>
  <w:style w:type="paragraph" w:customStyle="1" w:styleId="Zkladntextodsazen21">
    <w:name w:val="Základní text odsazený 21"/>
    <w:basedOn w:val="Normln"/>
    <w:pPr>
      <w:ind w:firstLine="709"/>
    </w:pPr>
  </w:style>
  <w:style w:type="paragraph" w:styleId="Textpoznpodarou">
    <w:name w:val="footnote text"/>
    <w:basedOn w:val="Normln"/>
    <w:semiHidden/>
    <w:rPr>
      <w:sz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Zkladntext22">
    <w:name w:val="Základní text 22"/>
    <w:basedOn w:val="Normln"/>
    <w:pPr>
      <w:spacing w:before="120" w:line="360" w:lineRule="atLeast"/>
      <w:ind w:firstLine="567"/>
    </w:pPr>
  </w:style>
  <w:style w:type="character" w:customStyle="1" w:styleId="Hypertextovodkaz1">
    <w:name w:val="Hypertextový odkaz1"/>
    <w:rPr>
      <w:color w:val="0000FF"/>
      <w:u w:val="single"/>
    </w:rPr>
  </w:style>
  <w:style w:type="character" w:customStyle="1" w:styleId="Sledovanodkaz1">
    <w:name w:val="Sledovaný odkaz1"/>
    <w:rPr>
      <w:color w:val="800080"/>
      <w:u w:val="single"/>
    </w:rPr>
  </w:style>
  <w:style w:type="paragraph" w:customStyle="1" w:styleId="xl24">
    <w:name w:val="xl24"/>
    <w:basedOn w:val="Normln"/>
    <w:pPr>
      <w:spacing w:before="100" w:after="100" w:line="240" w:lineRule="auto"/>
      <w:jc w:val="left"/>
    </w:pPr>
  </w:style>
  <w:style w:type="paragraph" w:customStyle="1" w:styleId="xl25">
    <w:name w:val="xl25"/>
    <w:basedOn w:val="Normln"/>
    <w:pPr>
      <w:pBdr>
        <w:right w:val="single" w:sz="6" w:space="0" w:color="auto"/>
      </w:pBdr>
      <w:spacing w:before="100" w:after="100" w:line="240" w:lineRule="auto"/>
      <w:jc w:val="left"/>
    </w:pPr>
    <w:rPr>
      <w:b/>
    </w:rPr>
  </w:style>
  <w:style w:type="paragraph" w:customStyle="1" w:styleId="xl26">
    <w:name w:val="xl26"/>
    <w:basedOn w:val="Normln"/>
    <w:pPr>
      <w:spacing w:before="100" w:after="100" w:line="240" w:lineRule="auto"/>
      <w:jc w:val="left"/>
    </w:pPr>
    <w:rPr>
      <w:b/>
    </w:rPr>
  </w:style>
  <w:style w:type="paragraph" w:customStyle="1" w:styleId="xl27">
    <w:name w:val="xl27"/>
    <w:basedOn w:val="Normln"/>
    <w:pPr>
      <w:pBdr>
        <w:left w:val="single" w:sz="6" w:space="0" w:color="auto"/>
        <w:right w:val="single" w:sz="6" w:space="0" w:color="auto"/>
      </w:pBdr>
      <w:spacing w:before="100" w:after="100" w:line="240" w:lineRule="auto"/>
      <w:jc w:val="center"/>
    </w:pPr>
  </w:style>
  <w:style w:type="paragraph" w:customStyle="1" w:styleId="xl28">
    <w:name w:val="xl28"/>
    <w:basedOn w:val="Normln"/>
    <w:pPr>
      <w:pBdr>
        <w:bottom w:val="single" w:sz="6" w:space="0" w:color="auto"/>
      </w:pBdr>
      <w:spacing w:before="100" w:after="100" w:line="240" w:lineRule="auto"/>
      <w:jc w:val="center"/>
    </w:pPr>
  </w:style>
  <w:style w:type="paragraph" w:customStyle="1" w:styleId="xl29">
    <w:name w:val="xl29"/>
    <w:basedOn w:val="Normln"/>
    <w:pPr>
      <w:pBdr>
        <w:left w:val="single" w:sz="6" w:space="0" w:color="auto"/>
        <w:bottom w:val="single" w:sz="6" w:space="0" w:color="auto"/>
      </w:pBdr>
      <w:spacing w:before="100" w:after="100" w:line="240" w:lineRule="auto"/>
      <w:jc w:val="center"/>
    </w:pPr>
  </w:style>
  <w:style w:type="paragraph" w:customStyle="1" w:styleId="xl30">
    <w:name w:val="xl30"/>
    <w:basedOn w:val="Normln"/>
    <w:pPr>
      <w:pBdr>
        <w:left w:val="single" w:sz="6" w:space="0" w:color="auto"/>
        <w:bottom w:val="single" w:sz="6" w:space="0" w:color="auto"/>
        <w:right w:val="single" w:sz="6" w:space="0" w:color="auto"/>
      </w:pBdr>
      <w:spacing w:before="100" w:after="100" w:line="240" w:lineRule="auto"/>
      <w:jc w:val="center"/>
    </w:pPr>
  </w:style>
  <w:style w:type="paragraph" w:customStyle="1" w:styleId="xl31">
    <w:name w:val="xl31"/>
    <w:basedOn w:val="Normln"/>
    <w:pPr>
      <w:pBdr>
        <w:left w:val="single" w:sz="6" w:space="0" w:color="auto"/>
        <w:right w:val="single" w:sz="6" w:space="0" w:color="auto"/>
      </w:pBdr>
      <w:spacing w:before="100" w:after="100" w:line="240" w:lineRule="auto"/>
      <w:jc w:val="left"/>
    </w:pPr>
  </w:style>
  <w:style w:type="paragraph" w:customStyle="1" w:styleId="xl32">
    <w:name w:val="xl32"/>
    <w:basedOn w:val="Normln"/>
    <w:pPr>
      <w:pBdr>
        <w:left w:val="single" w:sz="6" w:space="0" w:color="auto"/>
        <w:bottom w:val="single" w:sz="6" w:space="0" w:color="auto"/>
        <w:right w:val="single" w:sz="6" w:space="0" w:color="auto"/>
      </w:pBdr>
      <w:spacing w:before="100" w:after="100" w:line="240" w:lineRule="auto"/>
      <w:jc w:val="left"/>
    </w:pPr>
  </w:style>
  <w:style w:type="paragraph" w:customStyle="1" w:styleId="xl33">
    <w:name w:val="xl33"/>
    <w:basedOn w:val="Normln"/>
    <w:pPr>
      <w:pBdr>
        <w:left w:val="single" w:sz="6" w:space="0" w:color="auto"/>
        <w:bottom w:val="single" w:sz="6" w:space="0" w:color="auto"/>
        <w:right w:val="single" w:sz="6" w:space="0" w:color="auto"/>
      </w:pBdr>
      <w:spacing w:before="100" w:after="100" w:line="240" w:lineRule="auto"/>
      <w:jc w:val="center"/>
    </w:pPr>
  </w:style>
  <w:style w:type="paragraph" w:customStyle="1" w:styleId="xl34">
    <w:name w:val="xl34"/>
    <w:basedOn w:val="Normln"/>
    <w:pPr>
      <w:pBdr>
        <w:left w:val="single" w:sz="6" w:space="0" w:color="auto"/>
        <w:bottom w:val="single" w:sz="6" w:space="0" w:color="auto"/>
      </w:pBdr>
      <w:spacing w:before="100" w:after="100" w:line="240" w:lineRule="auto"/>
      <w:jc w:val="center"/>
    </w:pPr>
  </w:style>
  <w:style w:type="paragraph" w:customStyle="1" w:styleId="xl35">
    <w:name w:val="xl35"/>
    <w:basedOn w:val="Normln"/>
    <w:pPr>
      <w:pBdr>
        <w:left w:val="single" w:sz="6" w:space="0" w:color="auto"/>
        <w:right w:val="single" w:sz="6" w:space="0" w:color="auto"/>
      </w:pBdr>
      <w:spacing w:before="100" w:after="100" w:line="240" w:lineRule="auto"/>
      <w:jc w:val="left"/>
    </w:pPr>
    <w:rPr>
      <w:rFonts w:ascii="Arial Unicode MS" w:eastAsia="Arial Unicode MS"/>
    </w:rPr>
  </w:style>
  <w:style w:type="paragraph" w:customStyle="1" w:styleId="xl36">
    <w:name w:val="xl36"/>
    <w:basedOn w:val="Normln"/>
    <w:pPr>
      <w:pBdr>
        <w:left w:val="single" w:sz="6" w:space="0" w:color="auto"/>
        <w:right w:val="single" w:sz="6" w:space="0" w:color="auto"/>
      </w:pBdr>
      <w:spacing w:before="100" w:after="100" w:line="240" w:lineRule="auto"/>
      <w:jc w:val="left"/>
    </w:pPr>
    <w:rPr>
      <w:rFonts w:ascii="Arial Unicode MS" w:eastAsia="Arial Unicode MS"/>
    </w:rPr>
  </w:style>
  <w:style w:type="paragraph" w:customStyle="1" w:styleId="xl37">
    <w:name w:val="xl37"/>
    <w:basedOn w:val="Normln"/>
    <w:pPr>
      <w:pBdr>
        <w:top w:val="single" w:sz="6" w:space="0" w:color="auto"/>
        <w:left w:val="single" w:sz="6" w:space="0" w:color="auto"/>
        <w:right w:val="single" w:sz="6" w:space="0" w:color="auto"/>
      </w:pBdr>
      <w:spacing w:before="100" w:after="100" w:line="240" w:lineRule="auto"/>
      <w:jc w:val="center"/>
    </w:pPr>
  </w:style>
  <w:style w:type="paragraph" w:customStyle="1" w:styleId="xl38">
    <w:name w:val="xl38"/>
    <w:basedOn w:val="Normln"/>
    <w:pPr>
      <w:pBdr>
        <w:left w:val="single" w:sz="6" w:space="0" w:color="auto"/>
        <w:bottom w:val="single" w:sz="6" w:space="0" w:color="auto"/>
        <w:right w:val="single" w:sz="6" w:space="0" w:color="auto"/>
      </w:pBdr>
      <w:spacing w:before="100" w:after="100" w:line="240" w:lineRule="auto"/>
      <w:jc w:val="left"/>
    </w:pPr>
    <w:rPr>
      <w:rFonts w:ascii="Arial Unicode MS" w:eastAsia="Arial Unicode MS"/>
    </w:rPr>
  </w:style>
  <w:style w:type="paragraph" w:customStyle="1" w:styleId="xl39">
    <w:name w:val="xl39"/>
    <w:basedOn w:val="Normln"/>
    <w:pPr>
      <w:pBdr>
        <w:left w:val="single" w:sz="6" w:space="0" w:color="auto"/>
        <w:bottom w:val="single" w:sz="6" w:space="0" w:color="auto"/>
        <w:right w:val="single" w:sz="6" w:space="0" w:color="auto"/>
      </w:pBdr>
      <w:spacing w:before="100" w:after="100" w:line="240" w:lineRule="auto"/>
      <w:jc w:val="left"/>
    </w:pPr>
    <w:rPr>
      <w:rFonts w:ascii="Arial Unicode MS" w:eastAsia="Arial Unicode MS"/>
    </w:rPr>
  </w:style>
  <w:style w:type="paragraph" w:customStyle="1" w:styleId="xl40">
    <w:name w:val="xl40"/>
    <w:basedOn w:val="Normln"/>
    <w:pPr>
      <w:pBdr>
        <w:left w:val="single" w:sz="6" w:space="0" w:color="auto"/>
        <w:bottom w:val="single" w:sz="6" w:space="0" w:color="auto"/>
        <w:right w:val="single" w:sz="6" w:space="0" w:color="auto"/>
      </w:pBdr>
      <w:spacing w:before="100" w:after="100" w:line="240" w:lineRule="auto"/>
      <w:jc w:val="center"/>
    </w:pPr>
  </w:style>
  <w:style w:type="paragraph" w:customStyle="1" w:styleId="xl41">
    <w:name w:val="xl41"/>
    <w:basedOn w:val="Normln"/>
    <w:pPr>
      <w:pBdr>
        <w:top w:val="single" w:sz="6" w:space="0" w:color="auto"/>
        <w:left w:val="single" w:sz="6" w:space="0" w:color="auto"/>
        <w:right w:val="single" w:sz="6" w:space="0" w:color="auto"/>
      </w:pBdr>
      <w:spacing w:before="100" w:after="100" w:line="240" w:lineRule="auto"/>
      <w:jc w:val="left"/>
    </w:pPr>
  </w:style>
  <w:style w:type="paragraph" w:customStyle="1" w:styleId="xl42">
    <w:name w:val="xl42"/>
    <w:basedOn w:val="Normln"/>
    <w:pPr>
      <w:pBdr>
        <w:top w:val="single" w:sz="6" w:space="0" w:color="auto"/>
        <w:left w:val="single" w:sz="6" w:space="0" w:color="auto"/>
        <w:right w:val="single" w:sz="6" w:space="0" w:color="auto"/>
      </w:pBdr>
      <w:spacing w:before="100" w:after="100" w:line="240" w:lineRule="auto"/>
      <w:jc w:val="center"/>
    </w:pPr>
  </w:style>
  <w:style w:type="paragraph" w:customStyle="1" w:styleId="xl43">
    <w:name w:val="xl43"/>
    <w:basedOn w:val="Normln"/>
    <w:pPr>
      <w:pBdr>
        <w:top w:val="single" w:sz="6" w:space="0" w:color="auto"/>
      </w:pBdr>
      <w:spacing w:before="100" w:after="100" w:line="240" w:lineRule="auto"/>
      <w:jc w:val="center"/>
    </w:pPr>
  </w:style>
  <w:style w:type="paragraph" w:customStyle="1" w:styleId="xl44">
    <w:name w:val="xl44"/>
    <w:basedOn w:val="Normln"/>
    <w:pPr>
      <w:pBdr>
        <w:top w:val="single" w:sz="6" w:space="0" w:color="auto"/>
        <w:left w:val="single" w:sz="6" w:space="0" w:color="auto"/>
        <w:right w:val="single" w:sz="6" w:space="0" w:color="auto"/>
      </w:pBdr>
      <w:spacing w:before="100" w:after="100" w:line="240" w:lineRule="auto"/>
      <w:jc w:val="center"/>
    </w:pPr>
  </w:style>
  <w:style w:type="paragraph" w:customStyle="1" w:styleId="xl45">
    <w:name w:val="xl45"/>
    <w:basedOn w:val="Normln"/>
    <w:pPr>
      <w:pBdr>
        <w:top w:val="single" w:sz="6" w:space="0" w:color="auto"/>
        <w:left w:val="single" w:sz="6" w:space="0" w:color="auto"/>
      </w:pBdr>
      <w:spacing w:before="100" w:after="100" w:line="240" w:lineRule="auto"/>
      <w:jc w:val="center"/>
    </w:pPr>
  </w:style>
  <w:style w:type="paragraph" w:customStyle="1" w:styleId="xl46">
    <w:name w:val="xl46"/>
    <w:basedOn w:val="Normln"/>
    <w:pPr>
      <w:pBdr>
        <w:left w:val="single" w:sz="6" w:space="0" w:color="auto"/>
      </w:pBdr>
      <w:spacing w:before="100" w:after="100" w:line="240" w:lineRule="auto"/>
      <w:jc w:val="left"/>
    </w:pPr>
    <w:rPr>
      <w:rFonts w:ascii="Arial Unicode MS" w:eastAsia="Arial Unicode MS"/>
    </w:rPr>
  </w:style>
  <w:style w:type="paragraph" w:customStyle="1" w:styleId="xl47">
    <w:name w:val="xl47"/>
    <w:basedOn w:val="Normln"/>
    <w:pPr>
      <w:pBdr>
        <w:left w:val="single" w:sz="6" w:space="0" w:color="auto"/>
        <w:bottom w:val="single" w:sz="6" w:space="0" w:color="auto"/>
      </w:pBdr>
      <w:spacing w:before="100" w:after="100" w:line="240" w:lineRule="auto"/>
      <w:jc w:val="left"/>
    </w:pPr>
    <w:rPr>
      <w:rFonts w:ascii="Arial Unicode MS" w:eastAsia="Arial Unicode MS"/>
    </w:rPr>
  </w:style>
  <w:style w:type="paragraph" w:customStyle="1" w:styleId="xl48">
    <w:name w:val="xl48"/>
    <w:basedOn w:val="Normln"/>
    <w:pPr>
      <w:spacing w:before="100" w:after="100" w:line="240" w:lineRule="auto"/>
      <w:jc w:val="left"/>
    </w:pPr>
    <w:rPr>
      <w:sz w:val="16"/>
    </w:rPr>
  </w:style>
  <w:style w:type="paragraph" w:customStyle="1" w:styleId="xl49">
    <w:name w:val="xl49"/>
    <w:basedOn w:val="Normln"/>
    <w:pPr>
      <w:pBdr>
        <w:top w:val="single" w:sz="6" w:space="0" w:color="auto"/>
        <w:left w:val="single" w:sz="6" w:space="0" w:color="auto"/>
      </w:pBdr>
      <w:spacing w:before="100" w:after="100" w:line="240" w:lineRule="auto"/>
      <w:jc w:val="center"/>
    </w:pPr>
  </w:style>
  <w:style w:type="paragraph" w:customStyle="1" w:styleId="xl50">
    <w:name w:val="xl50"/>
    <w:basedOn w:val="Normln"/>
    <w:pPr>
      <w:pBdr>
        <w:bottom w:val="single" w:sz="6" w:space="0" w:color="auto"/>
        <w:right w:val="single" w:sz="6" w:space="0" w:color="auto"/>
      </w:pBdr>
      <w:spacing w:before="100" w:after="100" w:line="240" w:lineRule="auto"/>
      <w:jc w:val="center"/>
    </w:pPr>
  </w:style>
  <w:style w:type="paragraph" w:customStyle="1" w:styleId="xl51">
    <w:name w:val="xl51"/>
    <w:basedOn w:val="Normln"/>
    <w:pPr>
      <w:pBdr>
        <w:left w:val="single" w:sz="6" w:space="0" w:color="auto"/>
        <w:bottom w:val="single" w:sz="6" w:space="0" w:color="auto"/>
        <w:right w:val="single" w:sz="6" w:space="0" w:color="auto"/>
      </w:pBdr>
      <w:spacing w:before="100" w:after="100" w:line="240" w:lineRule="auto"/>
      <w:jc w:val="left"/>
    </w:pPr>
    <w:rPr>
      <w:rFonts w:ascii="Arial Unicode MS" w:eastAsia="Arial Unicode MS"/>
    </w:rPr>
  </w:style>
  <w:style w:type="paragraph" w:customStyle="1" w:styleId="xl52">
    <w:name w:val="xl52"/>
    <w:basedOn w:val="Normln"/>
    <w:pPr>
      <w:pBdr>
        <w:right w:val="single" w:sz="6" w:space="0" w:color="auto"/>
      </w:pBdr>
      <w:spacing w:before="100" w:after="100" w:line="240" w:lineRule="auto"/>
      <w:jc w:val="left"/>
    </w:pPr>
    <w:rPr>
      <w:rFonts w:ascii="Arial Unicode MS" w:eastAsia="Arial Unicode MS"/>
    </w:rPr>
  </w:style>
  <w:style w:type="paragraph" w:customStyle="1" w:styleId="xl53">
    <w:name w:val="xl53"/>
    <w:basedOn w:val="Normln"/>
    <w:pPr>
      <w:pBdr>
        <w:bottom w:val="single" w:sz="6" w:space="0" w:color="auto"/>
        <w:right w:val="single" w:sz="6" w:space="0" w:color="auto"/>
      </w:pBdr>
      <w:spacing w:before="100" w:after="100" w:line="240" w:lineRule="auto"/>
      <w:jc w:val="left"/>
    </w:pPr>
    <w:rPr>
      <w:rFonts w:ascii="Arial Unicode MS" w:eastAsia="Arial Unicode MS"/>
    </w:rPr>
  </w:style>
  <w:style w:type="paragraph" w:customStyle="1" w:styleId="xl54">
    <w:name w:val="xl54"/>
    <w:basedOn w:val="Normln"/>
    <w:pPr>
      <w:pBdr>
        <w:left w:val="single" w:sz="6" w:space="0" w:color="auto"/>
        <w:bottom w:val="single" w:sz="6" w:space="0" w:color="auto"/>
      </w:pBdr>
      <w:spacing w:before="100" w:after="100" w:line="240" w:lineRule="auto"/>
      <w:jc w:val="left"/>
    </w:pPr>
    <w:rPr>
      <w:rFonts w:ascii="Arial Unicode MS" w:eastAsia="Arial Unicode MS"/>
    </w:rPr>
  </w:style>
  <w:style w:type="paragraph" w:customStyle="1" w:styleId="xl55">
    <w:name w:val="xl55"/>
    <w:basedOn w:val="Normln"/>
    <w:pPr>
      <w:pBdr>
        <w:bottom w:val="single" w:sz="6" w:space="0" w:color="auto"/>
        <w:right w:val="single" w:sz="6" w:space="0" w:color="auto"/>
      </w:pBdr>
      <w:spacing w:before="100" w:after="100" w:line="240" w:lineRule="auto"/>
      <w:jc w:val="left"/>
    </w:pPr>
    <w:rPr>
      <w:rFonts w:ascii="Arial Unicode MS" w:eastAsia="Arial Unicode MS"/>
    </w:rPr>
  </w:style>
  <w:style w:type="paragraph" w:customStyle="1" w:styleId="xl56">
    <w:name w:val="xl56"/>
    <w:basedOn w:val="Normln"/>
    <w:pPr>
      <w:pBdr>
        <w:top w:val="single" w:sz="6" w:space="0" w:color="auto"/>
        <w:right w:val="single" w:sz="6" w:space="0" w:color="auto"/>
      </w:pBdr>
      <w:spacing w:before="100" w:after="100" w:line="240" w:lineRule="auto"/>
      <w:jc w:val="center"/>
    </w:pPr>
  </w:style>
  <w:style w:type="paragraph" w:customStyle="1" w:styleId="xl57">
    <w:name w:val="xl57"/>
    <w:basedOn w:val="Normln"/>
    <w:pPr>
      <w:spacing w:before="100" w:after="100" w:line="240" w:lineRule="auto"/>
      <w:jc w:val="left"/>
    </w:pPr>
    <w:rPr>
      <w:i/>
    </w:rPr>
  </w:style>
  <w:style w:type="paragraph" w:customStyle="1" w:styleId="xl58">
    <w:name w:val="xl58"/>
    <w:basedOn w:val="Normln"/>
    <w:pPr>
      <w:pBdr>
        <w:top w:val="single" w:sz="6" w:space="0" w:color="auto"/>
        <w:left w:val="single" w:sz="6" w:space="0" w:color="auto"/>
      </w:pBdr>
      <w:spacing w:before="100" w:after="100" w:line="240" w:lineRule="auto"/>
      <w:jc w:val="center"/>
    </w:pPr>
  </w:style>
  <w:style w:type="paragraph" w:customStyle="1" w:styleId="xl59">
    <w:name w:val="xl59"/>
    <w:basedOn w:val="Normln"/>
    <w:pPr>
      <w:pBdr>
        <w:left w:val="single" w:sz="6" w:space="0" w:color="auto"/>
        <w:right w:val="single" w:sz="6" w:space="0" w:color="auto"/>
      </w:pBdr>
      <w:spacing w:before="100" w:after="100" w:line="240" w:lineRule="auto"/>
      <w:jc w:val="left"/>
    </w:pPr>
    <w:rPr>
      <w:b/>
    </w:rPr>
  </w:style>
  <w:style w:type="paragraph" w:customStyle="1" w:styleId="xl60">
    <w:name w:val="xl60"/>
    <w:basedOn w:val="Normln"/>
    <w:pPr>
      <w:pBdr>
        <w:left w:val="single" w:sz="6" w:space="0" w:color="auto"/>
        <w:right w:val="single" w:sz="6" w:space="0" w:color="auto"/>
      </w:pBdr>
      <w:spacing w:before="100" w:after="100" w:line="240" w:lineRule="auto"/>
      <w:jc w:val="left"/>
    </w:pPr>
    <w:rPr>
      <w:i/>
    </w:rPr>
  </w:style>
  <w:style w:type="paragraph" w:customStyle="1" w:styleId="xl61">
    <w:name w:val="xl61"/>
    <w:basedOn w:val="Normln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 w:line="240" w:lineRule="auto"/>
      <w:jc w:val="center"/>
    </w:pPr>
  </w:style>
  <w:style w:type="paragraph" w:customStyle="1" w:styleId="xl62">
    <w:name w:val="xl62"/>
    <w:basedOn w:val="Normln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 w:line="240" w:lineRule="auto"/>
      <w:jc w:val="center"/>
    </w:pPr>
  </w:style>
  <w:style w:type="paragraph" w:customStyle="1" w:styleId="xl63">
    <w:name w:val="xl63"/>
    <w:basedOn w:val="Normln"/>
    <w:pPr>
      <w:pBdr>
        <w:top w:val="single" w:sz="6" w:space="0" w:color="auto"/>
        <w:bottom w:val="single" w:sz="6" w:space="0" w:color="auto"/>
      </w:pBdr>
      <w:spacing w:before="100" w:after="100" w:line="240" w:lineRule="auto"/>
      <w:jc w:val="center"/>
    </w:pPr>
  </w:style>
  <w:style w:type="paragraph" w:customStyle="1" w:styleId="xl64">
    <w:name w:val="xl64"/>
    <w:basedOn w:val="Normln"/>
    <w:pPr>
      <w:pBdr>
        <w:top w:val="single" w:sz="6" w:space="0" w:color="auto"/>
        <w:bottom w:val="single" w:sz="6" w:space="0" w:color="auto"/>
        <w:right w:val="single" w:sz="6" w:space="0" w:color="auto"/>
      </w:pBdr>
      <w:spacing w:before="100" w:after="100" w:line="240" w:lineRule="auto"/>
      <w:jc w:val="center"/>
    </w:pPr>
  </w:style>
  <w:style w:type="paragraph" w:customStyle="1" w:styleId="xl65">
    <w:name w:val="xl65"/>
    <w:basedOn w:val="Normln"/>
    <w:pPr>
      <w:spacing w:before="100" w:after="100" w:line="240" w:lineRule="auto"/>
      <w:jc w:val="left"/>
    </w:pPr>
    <w:rPr>
      <w:b/>
    </w:rPr>
  </w:style>
  <w:style w:type="paragraph" w:customStyle="1" w:styleId="xl66">
    <w:name w:val="xl66"/>
    <w:basedOn w:val="Normln"/>
    <w:pPr>
      <w:pBdr>
        <w:right w:val="single" w:sz="6" w:space="0" w:color="auto"/>
      </w:pBdr>
      <w:spacing w:before="100" w:after="100" w:line="240" w:lineRule="auto"/>
      <w:jc w:val="left"/>
    </w:pPr>
    <w:rPr>
      <w:rFonts w:ascii="Arial Unicode MS" w:eastAsia="Arial Unicode MS"/>
    </w:rPr>
  </w:style>
  <w:style w:type="paragraph" w:customStyle="1" w:styleId="xl67">
    <w:name w:val="xl67"/>
    <w:basedOn w:val="Normln"/>
    <w:pPr>
      <w:spacing w:before="100" w:after="100" w:line="240" w:lineRule="auto"/>
      <w:jc w:val="left"/>
    </w:pPr>
    <w:rPr>
      <w:i/>
    </w:rPr>
  </w:style>
  <w:style w:type="paragraph" w:customStyle="1" w:styleId="xl68">
    <w:name w:val="xl68"/>
    <w:basedOn w:val="Normln"/>
    <w:pPr>
      <w:pBdr>
        <w:bottom w:val="single" w:sz="6" w:space="0" w:color="auto"/>
      </w:pBdr>
      <w:spacing w:before="100" w:after="100" w:line="240" w:lineRule="auto"/>
      <w:jc w:val="left"/>
    </w:pPr>
    <w:rPr>
      <w:rFonts w:ascii="Arial Unicode MS" w:eastAsia="Arial Unicode MS"/>
    </w:rPr>
  </w:style>
  <w:style w:type="paragraph" w:customStyle="1" w:styleId="xl69">
    <w:name w:val="xl69"/>
    <w:basedOn w:val="Normln"/>
    <w:pPr>
      <w:pBdr>
        <w:top w:val="single" w:sz="6" w:space="0" w:color="auto"/>
        <w:bottom w:val="single" w:sz="6" w:space="0" w:color="auto"/>
      </w:pBdr>
      <w:spacing w:before="100" w:after="100" w:line="240" w:lineRule="auto"/>
      <w:jc w:val="center"/>
    </w:pPr>
  </w:style>
  <w:style w:type="paragraph" w:customStyle="1" w:styleId="xl70">
    <w:name w:val="xl70"/>
    <w:basedOn w:val="Normln"/>
    <w:pPr>
      <w:spacing w:before="100" w:after="100" w:line="240" w:lineRule="auto"/>
      <w:jc w:val="left"/>
    </w:pPr>
    <w:rPr>
      <w:b/>
    </w:rPr>
  </w:style>
  <w:style w:type="paragraph" w:customStyle="1" w:styleId="xl71">
    <w:name w:val="xl71"/>
    <w:basedOn w:val="Normln"/>
    <w:pPr>
      <w:spacing w:before="100" w:after="100" w:line="240" w:lineRule="auto"/>
      <w:jc w:val="left"/>
    </w:pPr>
    <w:rPr>
      <w:i/>
    </w:rPr>
  </w:style>
  <w:style w:type="paragraph" w:customStyle="1" w:styleId="xl72">
    <w:name w:val="xl72"/>
    <w:basedOn w:val="Normln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 w:line="240" w:lineRule="auto"/>
      <w:jc w:val="center"/>
    </w:pPr>
  </w:style>
  <w:style w:type="paragraph" w:customStyle="1" w:styleId="xl73">
    <w:name w:val="xl73"/>
    <w:basedOn w:val="Normln"/>
    <w:pPr>
      <w:pBdr>
        <w:right w:val="single" w:sz="6" w:space="0" w:color="auto"/>
      </w:pBdr>
      <w:spacing w:before="100" w:after="100" w:line="240" w:lineRule="auto"/>
      <w:jc w:val="left"/>
    </w:pPr>
    <w:rPr>
      <w:b/>
    </w:rPr>
  </w:style>
  <w:style w:type="paragraph" w:customStyle="1" w:styleId="xl74">
    <w:name w:val="xl74"/>
    <w:basedOn w:val="Normln"/>
    <w:pPr>
      <w:pBdr>
        <w:right w:val="single" w:sz="6" w:space="0" w:color="auto"/>
      </w:pBdr>
      <w:spacing w:before="100" w:after="100" w:line="240" w:lineRule="auto"/>
      <w:jc w:val="left"/>
    </w:pPr>
    <w:rPr>
      <w:i/>
    </w:rPr>
  </w:style>
  <w:style w:type="paragraph" w:customStyle="1" w:styleId="xl75">
    <w:name w:val="xl75"/>
    <w:basedOn w:val="Normln"/>
    <w:pPr>
      <w:pBdr>
        <w:left w:val="single" w:sz="6" w:space="0" w:color="auto"/>
        <w:right w:val="single" w:sz="6" w:space="0" w:color="auto"/>
      </w:pBdr>
      <w:spacing w:before="100" w:after="100" w:line="240" w:lineRule="auto"/>
      <w:jc w:val="left"/>
    </w:pPr>
    <w:rPr>
      <w:b/>
    </w:rPr>
  </w:style>
  <w:style w:type="paragraph" w:customStyle="1" w:styleId="xl76">
    <w:name w:val="xl76"/>
    <w:basedOn w:val="Normln"/>
    <w:pPr>
      <w:spacing w:before="100" w:after="100" w:line="240" w:lineRule="auto"/>
      <w:jc w:val="right"/>
    </w:pPr>
    <w:rPr>
      <w:i/>
    </w:rPr>
  </w:style>
  <w:style w:type="paragraph" w:customStyle="1" w:styleId="xl77">
    <w:name w:val="xl77"/>
    <w:basedOn w:val="Normln"/>
    <w:pPr>
      <w:spacing w:before="100" w:after="100" w:line="240" w:lineRule="auto"/>
      <w:jc w:val="right"/>
    </w:pPr>
    <w:rPr>
      <w:b/>
    </w:rPr>
  </w:style>
  <w:style w:type="paragraph" w:customStyle="1" w:styleId="xl78">
    <w:name w:val="xl78"/>
    <w:basedOn w:val="Normln"/>
    <w:pPr>
      <w:pBdr>
        <w:top w:val="single" w:sz="6" w:space="0" w:color="auto"/>
        <w:left w:val="single" w:sz="6" w:space="0" w:color="auto"/>
        <w:bottom w:val="single" w:sz="6" w:space="0" w:color="auto"/>
      </w:pBdr>
      <w:spacing w:before="100" w:after="100" w:line="240" w:lineRule="auto"/>
      <w:jc w:val="center"/>
    </w:pPr>
  </w:style>
  <w:style w:type="paragraph" w:customStyle="1" w:styleId="xl79">
    <w:name w:val="xl79"/>
    <w:basedOn w:val="Normln"/>
    <w:pPr>
      <w:pBdr>
        <w:left w:val="single" w:sz="6" w:space="0" w:color="auto"/>
      </w:pBdr>
      <w:spacing w:before="100" w:after="100" w:line="240" w:lineRule="auto"/>
      <w:jc w:val="left"/>
    </w:pPr>
    <w:rPr>
      <w:b/>
    </w:rPr>
  </w:style>
  <w:style w:type="paragraph" w:customStyle="1" w:styleId="xl80">
    <w:name w:val="xl80"/>
    <w:basedOn w:val="Normln"/>
    <w:pPr>
      <w:pBdr>
        <w:left w:val="single" w:sz="6" w:space="0" w:color="auto"/>
      </w:pBdr>
      <w:spacing w:before="100" w:after="100" w:line="240" w:lineRule="auto"/>
      <w:jc w:val="left"/>
    </w:pPr>
    <w:rPr>
      <w:i/>
    </w:rPr>
  </w:style>
  <w:style w:type="paragraph" w:customStyle="1" w:styleId="xl81">
    <w:name w:val="xl81"/>
    <w:basedOn w:val="Normln"/>
    <w:pPr>
      <w:pBdr>
        <w:top w:val="single" w:sz="6" w:space="0" w:color="auto"/>
        <w:bottom w:val="single" w:sz="6" w:space="0" w:color="auto"/>
        <w:right w:val="single" w:sz="6" w:space="0" w:color="auto"/>
      </w:pBdr>
      <w:spacing w:before="100" w:after="100" w:line="240" w:lineRule="auto"/>
      <w:jc w:val="center"/>
    </w:pPr>
  </w:style>
  <w:style w:type="paragraph" w:customStyle="1" w:styleId="xl82">
    <w:name w:val="xl82"/>
    <w:basedOn w:val="Normln"/>
    <w:pPr>
      <w:pBdr>
        <w:top w:val="single" w:sz="6" w:space="0" w:color="auto"/>
        <w:left w:val="single" w:sz="6" w:space="0" w:color="auto"/>
        <w:bottom w:val="single" w:sz="6" w:space="0" w:color="auto"/>
      </w:pBdr>
      <w:spacing w:before="100" w:after="100" w:line="240" w:lineRule="auto"/>
      <w:jc w:val="left"/>
    </w:pPr>
  </w:style>
  <w:style w:type="paragraph" w:customStyle="1" w:styleId="xl83">
    <w:name w:val="xl83"/>
    <w:basedOn w:val="Normln"/>
    <w:pPr>
      <w:pBdr>
        <w:top w:val="single" w:sz="6" w:space="0" w:color="auto"/>
        <w:bottom w:val="single" w:sz="6" w:space="0" w:color="auto"/>
      </w:pBdr>
      <w:spacing w:before="100" w:after="100" w:line="240" w:lineRule="auto"/>
      <w:jc w:val="left"/>
    </w:pPr>
  </w:style>
  <w:style w:type="paragraph" w:customStyle="1" w:styleId="xl84">
    <w:name w:val="xl84"/>
    <w:basedOn w:val="Normln"/>
    <w:pPr>
      <w:pBdr>
        <w:left w:val="single" w:sz="6" w:space="0" w:color="auto"/>
        <w:right w:val="single" w:sz="6" w:space="0" w:color="auto"/>
      </w:pBdr>
      <w:spacing w:before="100" w:after="100" w:line="240" w:lineRule="auto"/>
      <w:jc w:val="left"/>
    </w:pPr>
    <w:rPr>
      <w:b/>
      <w:i/>
    </w:rPr>
  </w:style>
  <w:style w:type="paragraph" w:customStyle="1" w:styleId="xl85">
    <w:name w:val="xl85"/>
    <w:basedOn w:val="Normln"/>
    <w:pPr>
      <w:spacing w:before="100" w:after="100" w:line="240" w:lineRule="auto"/>
      <w:jc w:val="left"/>
    </w:pPr>
  </w:style>
  <w:style w:type="paragraph" w:customStyle="1" w:styleId="xl86">
    <w:name w:val="xl86"/>
    <w:basedOn w:val="Normln"/>
    <w:pPr>
      <w:pBdr>
        <w:top w:val="single" w:sz="6" w:space="0" w:color="auto"/>
        <w:left w:val="single" w:sz="6" w:space="0" w:color="auto"/>
        <w:bottom w:val="single" w:sz="6" w:space="0" w:color="auto"/>
      </w:pBdr>
      <w:spacing w:before="100" w:after="100" w:line="240" w:lineRule="auto"/>
      <w:jc w:val="center"/>
    </w:pPr>
  </w:style>
  <w:style w:type="paragraph" w:customStyle="1" w:styleId="xl87">
    <w:name w:val="xl87"/>
    <w:basedOn w:val="Normln"/>
    <w:pPr>
      <w:pBdr>
        <w:left w:val="single" w:sz="6" w:space="0" w:color="auto"/>
      </w:pBdr>
      <w:spacing w:before="100" w:after="100" w:line="240" w:lineRule="auto"/>
      <w:jc w:val="left"/>
    </w:pPr>
    <w:rPr>
      <w:rFonts w:ascii="Arial Unicode MS" w:eastAsia="Arial Unicode MS"/>
    </w:rPr>
  </w:style>
  <w:style w:type="paragraph" w:customStyle="1" w:styleId="xl88">
    <w:name w:val="xl88"/>
    <w:basedOn w:val="Normln"/>
    <w:pPr>
      <w:pBdr>
        <w:left w:val="single" w:sz="6" w:space="0" w:color="auto"/>
      </w:pBdr>
      <w:spacing w:before="100" w:after="100" w:line="240" w:lineRule="auto"/>
      <w:jc w:val="left"/>
    </w:pPr>
    <w:rPr>
      <w:b/>
    </w:rPr>
  </w:style>
  <w:style w:type="paragraph" w:customStyle="1" w:styleId="xl89">
    <w:name w:val="xl89"/>
    <w:basedOn w:val="Normln"/>
    <w:pPr>
      <w:pBdr>
        <w:left w:val="single" w:sz="6" w:space="0" w:color="auto"/>
      </w:pBdr>
      <w:spacing w:before="100" w:after="100" w:line="240" w:lineRule="auto"/>
      <w:jc w:val="left"/>
    </w:pPr>
    <w:rPr>
      <w:i/>
    </w:rPr>
  </w:style>
  <w:style w:type="paragraph" w:customStyle="1" w:styleId="xl90">
    <w:name w:val="xl90"/>
    <w:basedOn w:val="Normln"/>
    <w:pPr>
      <w:pBdr>
        <w:left w:val="single" w:sz="6" w:space="0" w:color="auto"/>
        <w:right w:val="single" w:sz="6" w:space="0" w:color="auto"/>
      </w:pBdr>
      <w:spacing w:before="100" w:after="100" w:line="240" w:lineRule="auto"/>
      <w:jc w:val="left"/>
    </w:pPr>
    <w:rPr>
      <w:i/>
    </w:rPr>
  </w:style>
  <w:style w:type="paragraph" w:customStyle="1" w:styleId="xl91">
    <w:name w:val="xl91"/>
    <w:basedOn w:val="Normln"/>
    <w:pPr>
      <w:pBdr>
        <w:top w:val="single" w:sz="6" w:space="0" w:color="auto"/>
        <w:right w:val="single" w:sz="6" w:space="0" w:color="auto"/>
      </w:pBdr>
      <w:spacing w:before="100" w:after="100" w:line="240" w:lineRule="auto"/>
      <w:jc w:val="left"/>
    </w:pPr>
    <w:rPr>
      <w:rFonts w:ascii="Arial Unicode MS" w:eastAsia="Arial Unicode MS"/>
    </w:rPr>
  </w:style>
  <w:style w:type="paragraph" w:customStyle="1" w:styleId="xl92">
    <w:name w:val="xl92"/>
    <w:basedOn w:val="Normln"/>
    <w:pPr>
      <w:pBdr>
        <w:right w:val="single" w:sz="6" w:space="0" w:color="auto"/>
      </w:pBdr>
      <w:spacing w:before="100" w:after="100" w:line="240" w:lineRule="auto"/>
      <w:jc w:val="left"/>
    </w:pPr>
    <w:rPr>
      <w:b/>
    </w:rPr>
  </w:style>
  <w:style w:type="paragraph" w:customStyle="1" w:styleId="xl93">
    <w:name w:val="xl93"/>
    <w:basedOn w:val="Normln"/>
    <w:pPr>
      <w:pBdr>
        <w:right w:val="single" w:sz="6" w:space="0" w:color="auto"/>
      </w:pBdr>
      <w:spacing w:before="100" w:after="100" w:line="240" w:lineRule="auto"/>
      <w:jc w:val="left"/>
    </w:pPr>
    <w:rPr>
      <w:b/>
      <w:i/>
    </w:rPr>
  </w:style>
  <w:style w:type="paragraph" w:customStyle="1" w:styleId="xl94">
    <w:name w:val="xl94"/>
    <w:basedOn w:val="Normln"/>
    <w:pPr>
      <w:spacing w:before="100" w:after="100" w:line="240" w:lineRule="auto"/>
      <w:jc w:val="left"/>
    </w:pPr>
    <w:rPr>
      <w:rFonts w:ascii="Arial Unicode MS" w:eastAsia="Arial Unicode MS"/>
      <w:b/>
    </w:rPr>
  </w:style>
  <w:style w:type="paragraph" w:customStyle="1" w:styleId="xl95">
    <w:name w:val="xl95"/>
    <w:basedOn w:val="Normln"/>
    <w:pPr>
      <w:pBdr>
        <w:left w:val="single" w:sz="6" w:space="0" w:color="auto"/>
        <w:right w:val="single" w:sz="6" w:space="0" w:color="auto"/>
      </w:pBdr>
      <w:spacing w:before="100" w:after="100" w:line="240" w:lineRule="auto"/>
      <w:jc w:val="left"/>
    </w:pPr>
    <w:rPr>
      <w:rFonts w:ascii="Arial Unicode MS" w:eastAsia="Arial Unicode MS"/>
      <w:b/>
    </w:rPr>
  </w:style>
  <w:style w:type="paragraph" w:customStyle="1" w:styleId="xl96">
    <w:name w:val="xl96"/>
    <w:basedOn w:val="Normln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 w:line="240" w:lineRule="auto"/>
      <w:jc w:val="center"/>
    </w:pPr>
  </w:style>
  <w:style w:type="paragraph" w:customStyle="1" w:styleId="xl97">
    <w:name w:val="xl97"/>
    <w:basedOn w:val="Normln"/>
    <w:pPr>
      <w:pBdr>
        <w:left w:val="single" w:sz="6" w:space="0" w:color="auto"/>
        <w:right w:val="single" w:sz="6" w:space="0" w:color="auto"/>
      </w:pBdr>
      <w:spacing w:before="100" w:after="100" w:line="240" w:lineRule="auto"/>
      <w:jc w:val="left"/>
    </w:pPr>
    <w:rPr>
      <w:rFonts w:ascii="Arial Unicode MS" w:eastAsia="Arial Unicode MS"/>
    </w:rPr>
  </w:style>
  <w:style w:type="paragraph" w:customStyle="1" w:styleId="xl98">
    <w:name w:val="xl98"/>
    <w:basedOn w:val="Normln"/>
    <w:pPr>
      <w:pBdr>
        <w:left w:val="single" w:sz="6" w:space="0" w:color="auto"/>
        <w:right w:val="single" w:sz="6" w:space="0" w:color="auto"/>
      </w:pBdr>
      <w:spacing w:before="100" w:after="100" w:line="240" w:lineRule="auto"/>
      <w:jc w:val="left"/>
    </w:pPr>
    <w:rPr>
      <w:b/>
    </w:rPr>
  </w:style>
  <w:style w:type="paragraph" w:customStyle="1" w:styleId="xl99">
    <w:name w:val="xl99"/>
    <w:basedOn w:val="Normln"/>
    <w:pPr>
      <w:pBdr>
        <w:left w:val="single" w:sz="6" w:space="0" w:color="auto"/>
        <w:right w:val="single" w:sz="6" w:space="0" w:color="auto"/>
      </w:pBdr>
      <w:spacing w:before="100" w:after="100" w:line="240" w:lineRule="auto"/>
      <w:jc w:val="left"/>
    </w:pPr>
    <w:rPr>
      <w:i/>
    </w:rPr>
  </w:style>
  <w:style w:type="paragraph" w:customStyle="1" w:styleId="xl100">
    <w:name w:val="xl100"/>
    <w:basedOn w:val="Normln"/>
    <w:pPr>
      <w:pBdr>
        <w:right w:val="single" w:sz="6" w:space="0" w:color="auto"/>
      </w:pBdr>
      <w:spacing w:before="100" w:after="100" w:line="240" w:lineRule="auto"/>
      <w:jc w:val="left"/>
    </w:pPr>
    <w:rPr>
      <w:i/>
    </w:rPr>
  </w:style>
  <w:style w:type="paragraph" w:customStyle="1" w:styleId="xl101">
    <w:name w:val="xl101"/>
    <w:basedOn w:val="Normln"/>
    <w:pPr>
      <w:pBdr>
        <w:right w:val="single" w:sz="6" w:space="0" w:color="auto"/>
      </w:pBdr>
      <w:spacing w:before="100" w:after="100" w:line="240" w:lineRule="auto"/>
      <w:jc w:val="right"/>
    </w:pPr>
    <w:rPr>
      <w:i/>
    </w:rPr>
  </w:style>
  <w:style w:type="paragraph" w:customStyle="1" w:styleId="xl102">
    <w:name w:val="xl102"/>
    <w:basedOn w:val="Normln"/>
    <w:pPr>
      <w:pBdr>
        <w:right w:val="single" w:sz="6" w:space="0" w:color="auto"/>
      </w:pBdr>
      <w:spacing w:before="100" w:after="100" w:line="240" w:lineRule="auto"/>
      <w:jc w:val="right"/>
    </w:pPr>
    <w:rPr>
      <w:b/>
    </w:rPr>
  </w:style>
  <w:style w:type="paragraph" w:customStyle="1" w:styleId="xl103">
    <w:name w:val="xl103"/>
    <w:basedOn w:val="Normln"/>
    <w:pPr>
      <w:pBdr>
        <w:left w:val="single" w:sz="6" w:space="0" w:color="auto"/>
        <w:right w:val="single" w:sz="6" w:space="0" w:color="auto"/>
      </w:pBdr>
      <w:spacing w:before="100" w:after="100" w:line="240" w:lineRule="auto"/>
      <w:jc w:val="left"/>
    </w:pPr>
    <w:rPr>
      <w:i/>
    </w:rPr>
  </w:style>
  <w:style w:type="paragraph" w:customStyle="1" w:styleId="xl104">
    <w:name w:val="xl104"/>
    <w:basedOn w:val="Normln"/>
    <w:pPr>
      <w:spacing w:before="100" w:after="100" w:line="240" w:lineRule="auto"/>
      <w:jc w:val="center"/>
    </w:pPr>
    <w:rPr>
      <w:sz w:val="28"/>
    </w:rPr>
  </w:style>
  <w:style w:type="paragraph" w:customStyle="1" w:styleId="xl105">
    <w:name w:val="xl105"/>
    <w:basedOn w:val="Normln"/>
    <w:pPr>
      <w:pBdr>
        <w:top w:val="single" w:sz="6" w:space="0" w:color="auto"/>
        <w:bottom w:val="single" w:sz="6" w:space="0" w:color="auto"/>
      </w:pBdr>
      <w:spacing w:before="100" w:after="100" w:line="240" w:lineRule="auto"/>
      <w:jc w:val="center"/>
    </w:pPr>
  </w:style>
  <w:style w:type="paragraph" w:customStyle="1" w:styleId="xl106">
    <w:name w:val="xl106"/>
    <w:basedOn w:val="Normln"/>
    <w:pPr>
      <w:pBdr>
        <w:top w:val="single" w:sz="6" w:space="0" w:color="auto"/>
        <w:bottom w:val="single" w:sz="6" w:space="0" w:color="auto"/>
        <w:right w:val="single" w:sz="6" w:space="0" w:color="auto"/>
      </w:pBdr>
      <w:spacing w:before="100" w:after="100" w:line="240" w:lineRule="auto"/>
      <w:jc w:val="center"/>
    </w:pPr>
  </w:style>
  <w:style w:type="paragraph" w:customStyle="1" w:styleId="xl107">
    <w:name w:val="xl107"/>
    <w:basedOn w:val="Normln"/>
    <w:pPr>
      <w:pBdr>
        <w:top w:val="single" w:sz="6" w:space="0" w:color="auto"/>
        <w:left w:val="single" w:sz="6" w:space="0" w:color="auto"/>
        <w:bottom w:val="single" w:sz="6" w:space="0" w:color="auto"/>
      </w:pBdr>
      <w:spacing w:before="100" w:after="100" w:line="240" w:lineRule="auto"/>
      <w:jc w:val="center"/>
    </w:pPr>
  </w:style>
  <w:style w:type="paragraph" w:customStyle="1" w:styleId="xl108">
    <w:name w:val="xl108"/>
    <w:basedOn w:val="Normln"/>
    <w:pPr>
      <w:pBdr>
        <w:top w:val="single" w:sz="6" w:space="0" w:color="auto"/>
        <w:right w:val="single" w:sz="6" w:space="0" w:color="auto"/>
      </w:pBdr>
      <w:spacing w:before="100" w:after="100" w:line="240" w:lineRule="auto"/>
      <w:jc w:val="center"/>
    </w:p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  <w:sz w:val="20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1normlnpromsninformaci">
    <w:name w:val="1) normální pro měsíční informaci"/>
    <w:basedOn w:val="Zkladntext22"/>
    <w:rsid w:val="0063033C"/>
    <w:pPr>
      <w:spacing w:line="240" w:lineRule="auto"/>
      <w:ind w:firstLine="0"/>
    </w:pPr>
  </w:style>
  <w:style w:type="paragraph" w:customStyle="1" w:styleId="pramen">
    <w:name w:val="pramen"/>
    <w:basedOn w:val="Normln"/>
    <w:qFormat/>
    <w:rsid w:val="008557E8"/>
    <w:pPr>
      <w:spacing w:line="360" w:lineRule="atLeast"/>
    </w:pPr>
    <w:rPr>
      <w:i/>
    </w:rPr>
  </w:style>
  <w:style w:type="paragraph" w:customStyle="1" w:styleId="Zkladntext210">
    <w:name w:val="Základní text 21"/>
    <w:basedOn w:val="Normln"/>
    <w:rsid w:val="00A4403E"/>
    <w:pPr>
      <w:spacing w:before="120"/>
      <w:ind w:firstLine="851"/>
    </w:pPr>
  </w:style>
  <w:style w:type="character" w:styleId="Odkaznakoment">
    <w:name w:val="annotation reference"/>
    <w:basedOn w:val="Standardnpsmoodstavce"/>
    <w:uiPriority w:val="99"/>
    <w:semiHidden/>
    <w:unhideWhenUsed/>
    <w:rsid w:val="0025256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52565"/>
    <w:pPr>
      <w:spacing w:line="240" w:lineRule="auto"/>
    </w:pPr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52565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ED5FE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ED5FE8"/>
    <w:rPr>
      <w:b/>
      <w:bCs/>
    </w:rPr>
  </w:style>
  <w:style w:type="character" w:styleId="Siln">
    <w:name w:val="Strong"/>
    <w:basedOn w:val="Standardnpsmoodstavce"/>
    <w:qFormat/>
    <w:rsid w:val="006954C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036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7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emf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microsoft.com/office/2016/09/relationships/commentsIds" Target="commentsIds.xml"/><Relationship Id="rId7" Type="http://schemas.openxmlformats.org/officeDocument/2006/relationships/footnotes" Target="footnotes.xml"/><Relationship Id="rId12" Type="http://schemas.openxmlformats.org/officeDocument/2006/relationships/chart" Target="charts/chart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emf"/><Relationship Id="rId5" Type="http://schemas.openxmlformats.org/officeDocument/2006/relationships/settings" Target="settings.xml"/><Relationship Id="rId15" Type="http://schemas.openxmlformats.org/officeDocument/2006/relationships/image" Target="media/image5.emf"/><Relationship Id="rId10" Type="http://schemas.openxmlformats.org/officeDocument/2006/relationships/chart" Target="charts/chart1.xml"/><Relationship Id="rId19" Type="http://schemas.microsoft.com/office/2011/relationships/people" Target="people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image" Target="media/image4.emf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12444\Documents\Pokladni%20plneni\Pokl%20pln&#283;n&#237;%202019\12%20prosinec%202019.xls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12444\Documents\Pokladni%20plneni\Pokl%20pln&#283;n&#237;%202019\12%20prosinec%202019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9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cs-CZ"/>
              <a:t>Saldo státního rozpočtu v letech 2013-2019  (v mld. Kč)</a:t>
            </a:r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5.6226562839866011E-2"/>
          <c:y val="0.15476851851851853"/>
          <c:w val="0.92351561027247286"/>
          <c:h val="0.6461154855643044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'saldo graf'!$B$9</c:f>
              <c:strCache>
                <c:ptCount val="1"/>
                <c:pt idx="0">
                  <c:v>Saldo SR</c:v>
                </c:pt>
              </c:strCache>
            </c:strRef>
          </c:tx>
          <c:spPr>
            <a:ln>
              <a:solidFill>
                <a:schemeClr val="accent1"/>
              </a:solidFill>
            </a:ln>
          </c:spPr>
          <c:invertIfNegative val="0"/>
          <c:dLbls>
            <c:numFmt formatCode="#,##0.0" sourceLinked="0"/>
            <c:spPr>
              <a:solidFill>
                <a:schemeClr val="bg1"/>
              </a:solidFill>
            </c:spPr>
            <c:txPr>
              <a:bodyPr/>
              <a:lstStyle/>
              <a:p>
                <a:pPr>
                  <a:defRPr sz="7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cs-CZ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'saldo graf'!$D$2:$J$2</c:f>
              <c:numCache>
                <c:formatCode>General</c:formatCode>
                <c:ptCount val="7"/>
                <c:pt idx="0">
                  <c:v>2013</c:v>
                </c:pt>
                <c:pt idx="1">
                  <c:v>2014</c:v>
                </c:pt>
                <c:pt idx="2">
                  <c:v>2015</c:v>
                </c:pt>
                <c:pt idx="3">
                  <c:v>2016</c:v>
                </c:pt>
                <c:pt idx="4">
                  <c:v>2017</c:v>
                </c:pt>
                <c:pt idx="5">
                  <c:v>2018</c:v>
                </c:pt>
                <c:pt idx="6">
                  <c:v>2019</c:v>
                </c:pt>
              </c:numCache>
            </c:numRef>
          </c:cat>
          <c:val>
            <c:numRef>
              <c:f>'saldo graf'!$D$14:$J$14</c:f>
              <c:numCache>
                <c:formatCode>#,##0.0</c:formatCode>
                <c:ptCount val="7"/>
                <c:pt idx="0">
                  <c:v>-81.264426905179931</c:v>
                </c:pt>
                <c:pt idx="1">
                  <c:v>-77.782245253918944</c:v>
                </c:pt>
                <c:pt idx="2">
                  <c:v>-62.804243282200197</c:v>
                </c:pt>
                <c:pt idx="3">
                  <c:v>61.7740413523291</c:v>
                </c:pt>
                <c:pt idx="4">
                  <c:v>-6.1512739194389647</c:v>
                </c:pt>
                <c:pt idx="5">
                  <c:v>2.9436287357800173</c:v>
                </c:pt>
                <c:pt idx="6">
                  <c:v>-28.515399791669779</c:v>
                </c:pt>
              </c:numCache>
            </c:numRef>
          </c:val>
        </c:ser>
        <c:ser>
          <c:idx val="1"/>
          <c:order val="1"/>
          <c:tx>
            <c:strRef>
              <c:f>'saldo graf'!$B$21</c:f>
              <c:strCache>
                <c:ptCount val="1"/>
                <c:pt idx="0">
                  <c:v>Saldo SR bez vlivu EU/FM</c:v>
                </c:pt>
              </c:strCache>
            </c:strRef>
          </c:tx>
          <c:invertIfNegative val="0"/>
          <c:dLbls>
            <c:numFmt formatCode="#,##0.0" sourceLinked="0"/>
            <c:spPr>
              <a:solidFill>
                <a:schemeClr val="bg1"/>
              </a:solidFill>
            </c:spPr>
            <c:txPr>
              <a:bodyPr/>
              <a:lstStyle/>
              <a:p>
                <a:pPr>
                  <a:defRPr sz="7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cs-CZ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'saldo graf'!$D$2:$J$2</c:f>
              <c:numCache>
                <c:formatCode>General</c:formatCode>
                <c:ptCount val="7"/>
                <c:pt idx="0">
                  <c:v>2013</c:v>
                </c:pt>
                <c:pt idx="1">
                  <c:v>2014</c:v>
                </c:pt>
                <c:pt idx="2">
                  <c:v>2015</c:v>
                </c:pt>
                <c:pt idx="3">
                  <c:v>2016</c:v>
                </c:pt>
                <c:pt idx="4">
                  <c:v>2017</c:v>
                </c:pt>
                <c:pt idx="5">
                  <c:v>2018</c:v>
                </c:pt>
                <c:pt idx="6">
                  <c:v>2019</c:v>
                </c:pt>
              </c:numCache>
            </c:numRef>
          </c:cat>
          <c:val>
            <c:numRef>
              <c:f>'saldo graf'!$D$26:$J$26</c:f>
              <c:numCache>
                <c:formatCode>#,##0.0</c:formatCode>
                <c:ptCount val="7"/>
                <c:pt idx="0">
                  <c:v>-81.73296260617991</c:v>
                </c:pt>
                <c:pt idx="1">
                  <c:v>-64.124108367918979</c:v>
                </c:pt>
                <c:pt idx="2">
                  <c:v>-41.677236218200164</c:v>
                </c:pt>
                <c:pt idx="3">
                  <c:v>-13.583600997670942</c:v>
                </c:pt>
                <c:pt idx="4">
                  <c:v>-1.3444843904389643</c:v>
                </c:pt>
                <c:pt idx="5">
                  <c:v>-3.4744614622199634</c:v>
                </c:pt>
                <c:pt idx="6">
                  <c:v>-27.720897307939765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73790720"/>
        <c:axId val="173792256"/>
      </c:barChart>
      <c:catAx>
        <c:axId val="17379072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cs-CZ"/>
          </a:p>
        </c:txPr>
        <c:crossAx val="173792256"/>
        <c:crosses val="autoZero"/>
        <c:auto val="1"/>
        <c:lblAlgn val="ctr"/>
        <c:lblOffset val="100"/>
        <c:noMultiLvlLbl val="0"/>
      </c:catAx>
      <c:valAx>
        <c:axId val="173792256"/>
        <c:scaling>
          <c:orientation val="minMax"/>
        </c:scaling>
        <c:delete val="0"/>
        <c:axPos val="l"/>
        <c:majorGridlines>
          <c:spPr>
            <a:ln>
              <a:solidFill>
                <a:schemeClr val="accent1">
                  <a:alpha val="43000"/>
                </a:schemeClr>
              </a:solidFill>
            </a:ln>
          </c:spPr>
        </c:majorGridlines>
        <c:numFmt formatCode="#,##0.0" sourceLinked="1"/>
        <c:majorTickMark val="none"/>
        <c:minorTickMark val="none"/>
        <c:tickLblPos val="nextTo"/>
        <c:spPr>
          <a:ln w="9525">
            <a:noFill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cs-CZ"/>
          </a:p>
        </c:txPr>
        <c:crossAx val="173790720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0.23668227471566056"/>
          <c:y val="0.89776419394944051"/>
          <c:w val="0.53550504592594661"/>
          <c:h val="6.7151279889001214E-2"/>
        </c:manualLayout>
      </c:layout>
      <c:overlay val="0"/>
      <c:txPr>
        <a:bodyPr/>
        <a:lstStyle/>
        <a:p>
          <a:pPr>
            <a:defRPr sz="735" b="0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cs-CZ"/>
        </a:p>
      </c:txPr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8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cs-CZ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0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cs-CZ"/>
              <a:t>Vývoj salda státního rozpočtu za leden až prosinec v roce 2018 a 2019 (v mld. Kč)</a:t>
            </a:r>
          </a:p>
        </c:rich>
      </c:tx>
      <c:layout>
        <c:manualLayout>
          <c:xMode val="edge"/>
          <c:yMode val="edge"/>
          <c:x val="0.17690144731908514"/>
          <c:y val="5.3212989333780089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9.1580502215657306E-2"/>
          <c:y val="0.18674698795180722"/>
          <c:w val="0.88626292466765144"/>
          <c:h val="0.6084337349397590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'tab. salda SR'!$B$17</c:f>
              <c:strCache>
                <c:ptCount val="1"/>
                <c:pt idx="0">
                  <c:v>2018</c:v>
                </c:pt>
              </c:strCache>
            </c:strRef>
          </c:tx>
          <c:spPr>
            <a:solidFill>
              <a:schemeClr val="accent3">
                <a:lumMod val="60000"/>
                <a:lumOff val="40000"/>
              </a:schemeClr>
            </a:solidFill>
          </c:spPr>
          <c:invertIfNegative val="0"/>
          <c:dLbls>
            <c:dLbl>
              <c:idx val="0"/>
              <c:layout>
                <c:manualLayout>
                  <c:x val="-5.116350470456511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-1.0990198219938492E-2"/>
                  <c:y val="-3.5458200703635452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-5.7061340941512127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-7.0453544693967413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layout>
                <c:manualLayout>
                  <c:x val="0"/>
                  <c:y val="4.0163804825601619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9"/>
              <c:layout>
                <c:manualLayout>
                  <c:x val="-3.1225604996096799E-3"/>
                  <c:y val="-4.0160642570280392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0"/>
              <c:layout>
                <c:manualLayout>
                  <c:x val="-1.1068213906167213E-2"/>
                  <c:y val="3.5469369520299324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numFmt formatCode="#,##0.0" sourceLinked="0"/>
            <c:spPr>
              <a:solidFill>
                <a:schemeClr val="bg1"/>
              </a:solidFill>
              <a:ln w="25400">
                <a:noFill/>
              </a:ln>
            </c:spPr>
            <c:txPr>
              <a:bodyPr/>
              <a:lstStyle/>
              <a:p>
                <a:pPr>
                  <a:defRPr sz="8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cs-CZ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'tab. salda SR'!$A$18:$A$29</c:f>
              <c:strCache>
                <c:ptCount val="12"/>
                <c:pt idx="0">
                  <c:v>leden</c:v>
                </c:pt>
                <c:pt idx="1">
                  <c:v>leden-únor</c:v>
                </c:pt>
                <c:pt idx="2">
                  <c:v>leden-březen</c:v>
                </c:pt>
                <c:pt idx="3">
                  <c:v>leden-duben</c:v>
                </c:pt>
                <c:pt idx="4">
                  <c:v>leden-květen</c:v>
                </c:pt>
                <c:pt idx="5">
                  <c:v>leden-červen</c:v>
                </c:pt>
                <c:pt idx="6">
                  <c:v>leden-červenec</c:v>
                </c:pt>
                <c:pt idx="7">
                  <c:v>leden-srpen</c:v>
                </c:pt>
                <c:pt idx="8">
                  <c:v>leden-září</c:v>
                </c:pt>
                <c:pt idx="9">
                  <c:v>leden-říjen</c:v>
                </c:pt>
                <c:pt idx="10">
                  <c:v>leden-listopad</c:v>
                </c:pt>
                <c:pt idx="11">
                  <c:v>leden-prosinec</c:v>
                </c:pt>
              </c:strCache>
            </c:strRef>
          </c:cat>
          <c:val>
            <c:numRef>
              <c:f>'tab. salda SR'!$B$18:$B$29</c:f>
              <c:numCache>
                <c:formatCode>0.00</c:formatCode>
                <c:ptCount val="12"/>
                <c:pt idx="0">
                  <c:v>26.453480388990016</c:v>
                </c:pt>
                <c:pt idx="1">
                  <c:v>25.750030625240186</c:v>
                </c:pt>
                <c:pt idx="2">
                  <c:v>16.25932449730999</c:v>
                </c:pt>
                <c:pt idx="3">
                  <c:v>0.77475632557991503</c:v>
                </c:pt>
                <c:pt idx="4">
                  <c:v>-23.09443913284008</c:v>
                </c:pt>
                <c:pt idx="5">
                  <c:v>-5.8789542447509575</c:v>
                </c:pt>
                <c:pt idx="6">
                  <c:v>16.584209760340059</c:v>
                </c:pt>
                <c:pt idx="7">
                  <c:v>14.772652513179992</c:v>
                </c:pt>
                <c:pt idx="8">
                  <c:v>16.774581262579886</c:v>
                </c:pt>
                <c:pt idx="9">
                  <c:v>5.6708643410397599</c:v>
                </c:pt>
                <c:pt idx="10">
                  <c:v>-21.638604532849513</c:v>
                </c:pt>
                <c:pt idx="11">
                  <c:v>2.9436287357800666</c:v>
                </c:pt>
              </c:numCache>
            </c:numRef>
          </c:val>
        </c:ser>
        <c:ser>
          <c:idx val="1"/>
          <c:order val="1"/>
          <c:tx>
            <c:strRef>
              <c:f>'tab. salda SR'!$C$17</c:f>
              <c:strCache>
                <c:ptCount val="1"/>
                <c:pt idx="0">
                  <c:v>2019</c:v>
                </c:pt>
              </c:strCache>
            </c:strRef>
          </c:tx>
          <c:spPr>
            <a:solidFill>
              <a:schemeClr val="accent2">
                <a:lumMod val="75000"/>
              </a:schemeClr>
            </a:solidFill>
          </c:spPr>
          <c:invertIfNegative val="0"/>
          <c:dLbls>
            <c:dLbl>
              <c:idx val="0"/>
              <c:layout>
                <c:manualLayout>
                  <c:x val="3.5226772346983706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7.0801806967734715E-3"/>
                  <c:y val="4.0160642570281121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3.9968399099898529E-3"/>
                  <c:y val="9.412520243480203E-4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2.7242671698847915E-4"/>
                  <c:y val="-2.6042888255989279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7.6436689545262239E-3"/>
                  <c:y val="8.032444739588274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layout>
                <c:manualLayout>
                  <c:x val="7.8247391777977616E-3"/>
                  <c:y val="4.0170129336242607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8"/>
              <c:layout>
                <c:manualLayout>
                  <c:x val="1.0651619029051904E-2"/>
                  <c:y val="-4.0157480314960631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9"/>
              <c:layout>
                <c:manualLayout>
                  <c:x val="5.2554690873675799E-5"/>
                  <c:y val="4.0177025744122406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0"/>
              <c:layout>
                <c:manualLayout>
                  <c:x val="3.9025908534534413E-4"/>
                  <c:y val="1.4184955603953761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numFmt formatCode="#,##0.0" sourceLinked="0"/>
            <c:spPr>
              <a:solidFill>
                <a:schemeClr val="bg1"/>
              </a:solidFill>
              <a:ln w="25400">
                <a:noFill/>
              </a:ln>
            </c:spPr>
            <c:txPr>
              <a:bodyPr/>
              <a:lstStyle/>
              <a:p>
                <a:pPr>
                  <a:defRPr sz="8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cs-CZ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'tab. salda SR'!$A$18:$A$29</c:f>
              <c:strCache>
                <c:ptCount val="12"/>
                <c:pt idx="0">
                  <c:v>leden</c:v>
                </c:pt>
                <c:pt idx="1">
                  <c:v>leden-únor</c:v>
                </c:pt>
                <c:pt idx="2">
                  <c:v>leden-březen</c:v>
                </c:pt>
                <c:pt idx="3">
                  <c:v>leden-duben</c:v>
                </c:pt>
                <c:pt idx="4">
                  <c:v>leden-květen</c:v>
                </c:pt>
                <c:pt idx="5">
                  <c:v>leden-červen</c:v>
                </c:pt>
                <c:pt idx="6">
                  <c:v>leden-červenec</c:v>
                </c:pt>
                <c:pt idx="7">
                  <c:v>leden-srpen</c:v>
                </c:pt>
                <c:pt idx="8">
                  <c:v>leden-září</c:v>
                </c:pt>
                <c:pt idx="9">
                  <c:v>leden-říjen</c:v>
                </c:pt>
                <c:pt idx="10">
                  <c:v>leden-listopad</c:v>
                </c:pt>
                <c:pt idx="11">
                  <c:v>leden-prosinec</c:v>
                </c:pt>
              </c:strCache>
            </c:strRef>
          </c:cat>
          <c:val>
            <c:numRef>
              <c:f>'tab. salda SR'!$C$18:$C$29</c:f>
              <c:numCache>
                <c:formatCode>0.00</c:formatCode>
                <c:ptCount val="12"/>
                <c:pt idx="0">
                  <c:v>8.7720437151099873</c:v>
                </c:pt>
                <c:pt idx="1">
                  <c:v>-19.905118727509972</c:v>
                </c:pt>
                <c:pt idx="2">
                  <c:v>-9.2423153074099673</c:v>
                </c:pt>
                <c:pt idx="3">
                  <c:v>-29.683749072660021</c:v>
                </c:pt>
                <c:pt idx="4">
                  <c:v>-50.902012544239938</c:v>
                </c:pt>
                <c:pt idx="5">
                  <c:v>-20.683383367440229</c:v>
                </c:pt>
                <c:pt idx="6">
                  <c:v>-9.676692496960186</c:v>
                </c:pt>
                <c:pt idx="7">
                  <c:v>-15.382486740709965</c:v>
                </c:pt>
                <c:pt idx="8">
                  <c:v>-20.985220844569994</c:v>
                </c:pt>
                <c:pt idx="9">
                  <c:v>-19.566194652300737</c:v>
                </c:pt>
                <c:pt idx="10">
                  <c:v>-38.625331989190954</c:v>
                </c:pt>
                <c:pt idx="11">
                  <c:v>-28.515399791669779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74609152"/>
        <c:axId val="174610688"/>
      </c:barChart>
      <c:catAx>
        <c:axId val="1746091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ln w="3175">
            <a:solidFill>
              <a:srgbClr val="848484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cs-CZ"/>
          </a:p>
        </c:txPr>
        <c:crossAx val="174610688"/>
        <c:crosses val="autoZero"/>
        <c:auto val="1"/>
        <c:lblAlgn val="ctr"/>
        <c:lblOffset val="100"/>
        <c:noMultiLvlLbl val="0"/>
      </c:catAx>
      <c:valAx>
        <c:axId val="174610688"/>
        <c:scaling>
          <c:orientation val="minMax"/>
        </c:scaling>
        <c:delete val="0"/>
        <c:axPos val="l"/>
        <c:majorGridlines>
          <c:spPr>
            <a:ln w="3175">
              <a:solidFill>
                <a:srgbClr val="8080FF">
                  <a:alpha val="39000"/>
                </a:srgbClr>
              </a:solidFill>
              <a:prstDash val="solid"/>
            </a:ln>
          </c:spPr>
        </c:majorGridlines>
        <c:numFmt formatCode="0.00" sourceLinked="1"/>
        <c:majorTickMark val="none"/>
        <c:minorTickMark val="none"/>
        <c:tickLblPos val="nextTo"/>
        <c:spPr>
          <a:ln w="3175">
            <a:solidFill>
              <a:srgbClr val="848484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cs-CZ"/>
          </a:p>
        </c:txPr>
        <c:crossAx val="17460915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34100973378327709"/>
          <c:y val="0.88253001619478411"/>
          <c:w val="0.34572082489688788"/>
          <c:h val="8.6345283967163677E-2"/>
        </c:manualLayout>
      </c:layout>
      <c:overlay val="0"/>
      <c:txPr>
        <a:bodyPr/>
        <a:lstStyle/>
        <a:p>
          <a:pPr>
            <a:defRPr sz="675" b="0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cs-CZ"/>
        </a:p>
      </c:txPr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cs-CZ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4D9D6E-8623-4B9F-B0D0-EE8274579E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2597</Words>
  <Characters>15327</Characters>
  <Application>Microsoft Office Word</Application>
  <DocSecurity>0</DocSecurity>
  <Lines>127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Ministerstvo financí</vt:lpstr>
    </vt:vector>
  </TitlesOfParts>
  <Company>MF CR</Company>
  <LinksUpToDate>false</LinksUpToDate>
  <CharactersWithSpaces>17889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financí</dc:title>
  <dc:creator>neznámý</dc:creator>
  <cp:lastModifiedBy>Žurovec Michal Ing.</cp:lastModifiedBy>
  <cp:revision>2</cp:revision>
  <cp:lastPrinted>2019-07-01T08:09:00Z</cp:lastPrinted>
  <dcterms:created xsi:type="dcterms:W3CDTF">2020-01-03T11:22:00Z</dcterms:created>
  <dcterms:modified xsi:type="dcterms:W3CDTF">2020-01-03T11:22:00Z</dcterms:modified>
</cp:coreProperties>
</file>