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974C6D" w:rsidRPr="0016444F" w:rsidRDefault="000D7319" w:rsidP="0016444F">
      <w:pPr>
        <w:keepNext/>
        <w:shd w:val="clear" w:color="auto" w:fill="FFFFFF"/>
        <w:spacing w:after="120"/>
      </w:pPr>
      <w:r>
        <w:rPr>
          <w:b/>
          <w:bCs/>
          <w:color w:val="000000"/>
        </w:rPr>
        <w:t xml:space="preserve">   </w:t>
      </w:r>
      <w:r w:rsidR="0032418A">
        <w:rPr>
          <w:b/>
          <w:bCs/>
          <w:color w:val="000000"/>
        </w:rPr>
        <w:t>Ing. Dan Jiránek</w:t>
      </w:r>
    </w:p>
    <w:p w:rsidR="00D73F0F" w:rsidRDefault="000D7319" w:rsidP="0016444F">
      <w:pPr>
        <w:pStyle w:val="Zkladntextodsazen"/>
        <w:tabs>
          <w:tab w:val="center" w:pos="1276"/>
        </w:tabs>
        <w:spacing w:after="120" w:line="240" w:lineRule="auto"/>
        <w:ind w:firstLine="0"/>
        <w:rPr>
          <w:b/>
        </w:rPr>
      </w:pPr>
      <w:r>
        <w:rPr>
          <w:b/>
        </w:rPr>
        <w:t xml:space="preserve">    </w:t>
      </w:r>
      <w:r w:rsidR="00E8264E">
        <w:rPr>
          <w:b/>
        </w:rPr>
        <w:t>výkonný ředitel</w:t>
      </w:r>
    </w:p>
    <w:p w:rsidR="00F63735" w:rsidRDefault="00F63735" w:rsidP="00087058">
      <w:pPr>
        <w:jc w:val="right"/>
      </w:pPr>
    </w:p>
    <w:p w:rsidR="000D7319" w:rsidRDefault="000D7319" w:rsidP="00087058">
      <w:pPr>
        <w:jc w:val="right"/>
      </w:pPr>
    </w:p>
    <w:p w:rsidR="00F63735" w:rsidRDefault="00F63735" w:rsidP="00087058">
      <w:pPr>
        <w:jc w:val="right"/>
      </w:pPr>
    </w:p>
    <w:p w:rsidR="000D7319" w:rsidRDefault="000D7319" w:rsidP="00CC1B29">
      <w:pPr>
        <w:spacing w:line="276" w:lineRule="auto"/>
        <w:jc w:val="right"/>
      </w:pPr>
      <w:r>
        <w:t xml:space="preserve">Praha, </w:t>
      </w:r>
      <w:r w:rsidR="000C7763">
        <w:t>26</w:t>
      </w:r>
      <w:r w:rsidR="00263194">
        <w:t>. října</w:t>
      </w:r>
      <w:r w:rsidR="00777B53">
        <w:t xml:space="preserve"> </w:t>
      </w:r>
      <w:r>
        <w:t>2016</w:t>
      </w:r>
    </w:p>
    <w:p w:rsidR="000D7319" w:rsidRDefault="00C63F84" w:rsidP="00CC1B29">
      <w:pPr>
        <w:spacing w:line="276" w:lineRule="auto"/>
        <w:jc w:val="right"/>
        <w:rPr>
          <w:i/>
        </w:rPr>
      </w:pPr>
      <w:proofErr w:type="gramStart"/>
      <w:r>
        <w:rPr>
          <w:i/>
        </w:rPr>
        <w:t>Č.j:</w:t>
      </w:r>
      <w:r w:rsidR="00F636D9">
        <w:rPr>
          <w:i/>
        </w:rPr>
        <w:t>420</w:t>
      </w:r>
      <w:r w:rsidR="000D7319">
        <w:rPr>
          <w:i/>
        </w:rPr>
        <w:t>/16</w:t>
      </w:r>
      <w:proofErr w:type="gramEnd"/>
    </w:p>
    <w:p w:rsidR="00576274" w:rsidRDefault="00576274" w:rsidP="00576274"/>
    <w:p w:rsidR="00C63F84" w:rsidRDefault="00C63F84" w:rsidP="00C63F84">
      <w:pPr>
        <w:spacing w:before="120"/>
        <w:jc w:val="both"/>
        <w:rPr>
          <w:b/>
        </w:rPr>
      </w:pPr>
    </w:p>
    <w:p w:rsidR="00C63F84" w:rsidRPr="0083488D" w:rsidRDefault="00C63F84" w:rsidP="00C63F84">
      <w:pPr>
        <w:spacing w:before="120"/>
        <w:jc w:val="both"/>
        <w:rPr>
          <w:b/>
        </w:rPr>
      </w:pPr>
      <w:r>
        <w:rPr>
          <w:b/>
        </w:rPr>
        <w:t>Věc: Dotazy k problematice § 56 Zákona o DPH</w:t>
      </w:r>
      <w:r w:rsidR="00C019AA">
        <w:rPr>
          <w:b/>
        </w:rPr>
        <w:t>.</w:t>
      </w:r>
    </w:p>
    <w:p w:rsidR="00E52BAD" w:rsidRDefault="00E52BAD" w:rsidP="00C63F84">
      <w:pPr>
        <w:spacing w:before="240"/>
        <w:jc w:val="both"/>
        <w:rPr>
          <w:szCs w:val="24"/>
        </w:rPr>
      </w:pPr>
    </w:p>
    <w:p w:rsidR="00C63F84" w:rsidRPr="00BB51B3" w:rsidRDefault="00BB51B3" w:rsidP="00BB51B3">
      <w:r>
        <w:rPr>
          <w:szCs w:val="24"/>
        </w:rPr>
        <w:t xml:space="preserve">Vážený pane </w:t>
      </w:r>
      <w:r>
        <w:t>generální ředitel</w:t>
      </w:r>
      <w:r>
        <w:t>i,</w:t>
      </w:r>
    </w:p>
    <w:p w:rsidR="00C63F84" w:rsidRDefault="00C63F84" w:rsidP="00263194">
      <w:pPr>
        <w:spacing w:before="240"/>
        <w:ind w:firstLine="709"/>
        <w:jc w:val="both"/>
        <w:rPr>
          <w:szCs w:val="24"/>
        </w:rPr>
      </w:pPr>
      <w:r>
        <w:rPr>
          <w:szCs w:val="24"/>
        </w:rPr>
        <w:t>obracíme s</w:t>
      </w:r>
      <w:r w:rsidR="00C019AA">
        <w:rPr>
          <w:szCs w:val="24"/>
        </w:rPr>
        <w:t>e na Vás, jakožto zástupci obcí, se</w:t>
      </w:r>
      <w:r>
        <w:rPr>
          <w:szCs w:val="24"/>
        </w:rPr>
        <w:t> žádostí o upřesnění a odstranění některých problémů a nejasností týkajících se aplikace §</w:t>
      </w:r>
      <w:r w:rsidR="00C019AA">
        <w:rPr>
          <w:szCs w:val="24"/>
        </w:rPr>
        <w:t xml:space="preserve"> </w:t>
      </w:r>
      <w:r>
        <w:rPr>
          <w:szCs w:val="24"/>
        </w:rPr>
        <w:t>56 (a případně i §</w:t>
      </w:r>
      <w:r w:rsidR="00C019AA">
        <w:rPr>
          <w:szCs w:val="24"/>
        </w:rPr>
        <w:t xml:space="preserve"> </w:t>
      </w:r>
      <w:r>
        <w:rPr>
          <w:szCs w:val="24"/>
        </w:rPr>
        <w:t>49) zákona o dani z přidané hodnoty v podmínkách obcí. K této problematice jsme již podávali několikrát své dotazy a</w:t>
      </w:r>
      <w:r w:rsidR="00C019AA">
        <w:rPr>
          <w:szCs w:val="24"/>
        </w:rPr>
        <w:t xml:space="preserve"> podněty, v červnu 2016 Svaz měst a obcí ČR (dále jen “Svaz“) uspořádal</w:t>
      </w:r>
      <w:r>
        <w:rPr>
          <w:szCs w:val="24"/>
        </w:rPr>
        <w:t xml:space="preserve"> seminář k problematice §</w:t>
      </w:r>
      <w:r w:rsidR="00C019AA">
        <w:rPr>
          <w:szCs w:val="24"/>
        </w:rPr>
        <w:t xml:space="preserve"> 56, který byl lektorován zástupci Minis</w:t>
      </w:r>
      <w:r w:rsidR="007E2B15">
        <w:rPr>
          <w:szCs w:val="24"/>
        </w:rPr>
        <w:t>terstva financí (dále jen „MF“).</w:t>
      </w:r>
      <w:r>
        <w:rPr>
          <w:szCs w:val="24"/>
        </w:rPr>
        <w:t xml:space="preserve"> V jednotlivých vyjádřeních (například náměstkyně ministra financí ing. </w:t>
      </w:r>
      <w:proofErr w:type="spellStart"/>
      <w:r>
        <w:rPr>
          <w:szCs w:val="24"/>
        </w:rPr>
        <w:t>Hornochové</w:t>
      </w:r>
      <w:proofErr w:type="spellEnd"/>
      <w:r>
        <w:rPr>
          <w:szCs w:val="24"/>
        </w:rPr>
        <w:t xml:space="preserve">) či ve vazbě na informace prezentované na výše zmíněném </w:t>
      </w:r>
      <w:r w:rsidR="00C019AA">
        <w:rPr>
          <w:szCs w:val="24"/>
        </w:rPr>
        <w:t>semináři vnímáme</w:t>
      </w:r>
      <w:r>
        <w:rPr>
          <w:szCs w:val="24"/>
        </w:rPr>
        <w:t xml:space="preserve"> rozpor v porovnání s tím, co je v poslední době prezentováno ze strany Generálního finančního ředitelství</w:t>
      </w:r>
      <w:r w:rsidR="00C019AA">
        <w:rPr>
          <w:szCs w:val="24"/>
        </w:rPr>
        <w:t xml:space="preserve"> (dále jen „GFŘ“), </w:t>
      </w:r>
      <w:r>
        <w:rPr>
          <w:szCs w:val="24"/>
        </w:rPr>
        <w:t xml:space="preserve">zejména ve zveřejněných dotazech a odpovědích GFŘ </w:t>
      </w:r>
      <w:r w:rsidR="00C019AA">
        <w:rPr>
          <w:szCs w:val="24"/>
        </w:rPr>
        <w:t>v září 2016</w:t>
      </w:r>
      <w:r>
        <w:rPr>
          <w:szCs w:val="24"/>
        </w:rPr>
        <w:t>. Také v rámci postoje GFŘ shledáváme moment</w:t>
      </w:r>
      <w:r w:rsidR="00C019AA">
        <w:rPr>
          <w:szCs w:val="24"/>
        </w:rPr>
        <w:t xml:space="preserve">y, které je třeba </w:t>
      </w:r>
      <w:r>
        <w:rPr>
          <w:szCs w:val="24"/>
        </w:rPr>
        <w:t xml:space="preserve">dle našeho názoru nezbytné vyjasnit pro zajištění právní jistoty poplatníků. </w:t>
      </w:r>
    </w:p>
    <w:p w:rsidR="00C63F84" w:rsidRDefault="00C63F84" w:rsidP="00263194">
      <w:pPr>
        <w:spacing w:before="240"/>
        <w:ind w:firstLine="709"/>
        <w:jc w:val="both"/>
        <w:rPr>
          <w:szCs w:val="24"/>
        </w:rPr>
      </w:pPr>
      <w:r>
        <w:rPr>
          <w:szCs w:val="24"/>
        </w:rPr>
        <w:t>Zdůrazňujeme, že stát je odpovědný za to, aby legislativa byla srozumitelná a aplikovatelná a také, aby praktická aplikace v rámci finanční správy byla plně zdůvodnitelná příslušnou legislativou. Obce, které zastupujeme, nemají sebemenší zájem na jakémkoliv krácení daní. Musí si však být jisté, že příslušné daně odvádí plně v souladu s platnou legis</w:t>
      </w:r>
      <w:r w:rsidR="00C019AA">
        <w:rPr>
          <w:szCs w:val="24"/>
        </w:rPr>
        <w:t xml:space="preserve">lativou, aby nedošlo k obviňování zástupců obcí z </w:t>
      </w:r>
      <w:r>
        <w:rPr>
          <w:szCs w:val="24"/>
        </w:rPr>
        <w:t>nehospodárnost</w:t>
      </w:r>
      <w:r w:rsidR="00C019AA">
        <w:rPr>
          <w:szCs w:val="24"/>
        </w:rPr>
        <w:t>i</w:t>
      </w:r>
      <w:r>
        <w:rPr>
          <w:szCs w:val="24"/>
        </w:rPr>
        <w:t xml:space="preserve"> (bohužel i prostřednictvím trestních oznámení).</w:t>
      </w:r>
    </w:p>
    <w:p w:rsidR="00C63F84" w:rsidRDefault="00C63F84" w:rsidP="00263194">
      <w:pPr>
        <w:spacing w:before="240"/>
        <w:ind w:firstLine="709"/>
        <w:jc w:val="both"/>
        <w:rPr>
          <w:szCs w:val="24"/>
        </w:rPr>
      </w:pPr>
      <w:r>
        <w:rPr>
          <w:szCs w:val="24"/>
        </w:rPr>
        <w:t>S ohledem na výše uvedené předkládáme několik problémových okruhů prostřednictvím konkrétních do</w:t>
      </w:r>
      <w:r w:rsidR="00C019AA">
        <w:rPr>
          <w:szCs w:val="24"/>
        </w:rPr>
        <w:t>tazů a odpovědí a žádáme jak MF</w:t>
      </w:r>
      <w:r>
        <w:rPr>
          <w:szCs w:val="24"/>
        </w:rPr>
        <w:t>, tak i GFŘ o vyjádření, které bychom následně zveřejnili pro potřebu našich členských obcí. V některých oblastech předkládáme vlastní návrhy konkrétních řešení a žádáme o vyjádření, zda s nimi souhlasíte či nikoliv včetně zdůvodnění. V rámci jednotlivých okruhů budeme vycházet zejména z </w:t>
      </w:r>
      <w:r w:rsidR="00C019AA">
        <w:rPr>
          <w:szCs w:val="24"/>
        </w:rPr>
        <w:t>„</w:t>
      </w:r>
      <w:r>
        <w:t xml:space="preserve">Informace GFŘ k uplatňování zákona o DPH u nemovitých věcí po 1. 1. 2016“ a </w:t>
      </w:r>
      <w:r w:rsidR="00C019AA">
        <w:t>„</w:t>
      </w:r>
      <w:r>
        <w:t>Dotazů a odpovědí zveřejněných pod číslem jednacím 125189/16/7100-20116-050485</w:t>
      </w:r>
      <w:r w:rsidR="00C019AA">
        <w:t>“</w:t>
      </w:r>
      <w:r>
        <w:t>.</w:t>
      </w:r>
    </w:p>
    <w:p w:rsidR="00C63F84" w:rsidRDefault="00C63F84" w:rsidP="00263194">
      <w:pPr>
        <w:spacing w:before="240"/>
        <w:ind w:firstLine="709"/>
        <w:jc w:val="both"/>
        <w:rPr>
          <w:szCs w:val="24"/>
        </w:rPr>
      </w:pPr>
      <w:r>
        <w:rPr>
          <w:szCs w:val="24"/>
        </w:rPr>
        <w:lastRenderedPageBreak/>
        <w:t>Pevně věříme, že takový způsob komunikace může přispět k vyjasnění problematiky a doufáme, že vyjádření ze strany finanční správy budou jasná, jednoznačná a řádně legislativou odůvodněná.</w:t>
      </w:r>
    </w:p>
    <w:p w:rsidR="00C63F84" w:rsidRPr="00577B91" w:rsidRDefault="00C63F84" w:rsidP="00C63F84">
      <w:pPr>
        <w:spacing w:before="240"/>
        <w:jc w:val="both"/>
        <w:rPr>
          <w:b/>
          <w:szCs w:val="24"/>
          <w:u w:val="single"/>
        </w:rPr>
      </w:pPr>
      <w:r w:rsidRPr="00577B91">
        <w:rPr>
          <w:b/>
          <w:szCs w:val="24"/>
          <w:u w:val="single"/>
        </w:rPr>
        <w:t>Okruh otázek číslo 1 – pozemek tvořící funkční celek se stavbou</w:t>
      </w:r>
    </w:p>
    <w:p w:rsidR="00C63F84" w:rsidRPr="00303E7B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Vymezení funkčního celku je pro nás klíčové z hlediska, zda je testováno osvobození podle §</w:t>
      </w:r>
      <w:r w:rsidR="0077006B">
        <w:rPr>
          <w:szCs w:val="24"/>
        </w:rPr>
        <w:t xml:space="preserve"> </w:t>
      </w:r>
      <w:r>
        <w:rPr>
          <w:szCs w:val="24"/>
        </w:rPr>
        <w:t>56 odst. 1 nebo odst. 3. V příkladech prezentovaných ze strany finanční správy stále nenacházíme odpovědi na významnou část případů, které na obcích běžně nastávají. S ohledem na tuto skutečnost předkládáme některé typové příklady.</w:t>
      </w:r>
    </w:p>
    <w:p w:rsidR="00C63F84" w:rsidRPr="00F67245" w:rsidRDefault="00C63F84" w:rsidP="00C63F84">
      <w:pPr>
        <w:spacing w:before="240"/>
        <w:jc w:val="both"/>
        <w:rPr>
          <w:b/>
          <w:szCs w:val="24"/>
        </w:rPr>
      </w:pPr>
      <w:r w:rsidRPr="00F67245">
        <w:rPr>
          <w:b/>
          <w:szCs w:val="24"/>
        </w:rPr>
        <w:t>Příklad č. 1: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Obec prodává vlastníkovi objektu restaurace A parcelu B situovanou před tímto objektem. Přes tuto parcelu se do objektu vchází a také její vyšrafovaná část je restauraci pronajímána pro umístění předzahrádky (pronájmu pro účely předzahrádky se týká cca 60</w:t>
      </w:r>
      <w:r w:rsidR="0077006B">
        <w:rPr>
          <w:szCs w:val="24"/>
        </w:rPr>
        <w:t xml:space="preserve"> </w:t>
      </w:r>
      <w:r>
        <w:rPr>
          <w:szCs w:val="24"/>
        </w:rPr>
        <w:t xml:space="preserve">% parcely B, která je předmětem prodeje). Chápeme správně, že podle odpovědi č. 15 z materiálu GFŘ ze září 2016 tvoří prodávaný pozemek B funkční celek se stavbou A, neboť byl před převodem užíván z větší části spolu s budovou A?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 xml:space="preserve">  </w:t>
      </w:r>
    </w:p>
    <w:tbl>
      <w:tblPr>
        <w:tblW w:w="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C63F84" w:rsidRPr="007C2CC4" w:rsidTr="00AE08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7C2CC4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7C2CC4" w:rsidTr="00AE08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7C2CC4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7C2CC4" w:rsidTr="00AE08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7C2CC4" w:rsidRDefault="00C63F84" w:rsidP="00AE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C63F84" w:rsidRPr="007C2CC4" w:rsidTr="00AE08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7C2CC4" w:rsidRDefault="00C63F84" w:rsidP="00AE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7C2CC4" w:rsidTr="00AE08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7C2CC4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7C2CC4" w:rsidTr="00AE08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reverseDiagStripe" w:color="000000" w:fill="D0CECE"/>
            <w:noWrap/>
            <w:vAlign w:val="bottom"/>
            <w:hideMark/>
          </w:tcPr>
          <w:p w:rsidR="00C63F84" w:rsidRPr="007C2CC4" w:rsidRDefault="00C63F84" w:rsidP="00AE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C63F84" w:rsidRPr="007C2CC4" w:rsidTr="00AE0813">
        <w:trPr>
          <w:trHeight w:val="16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63F84" w:rsidRPr="007C2CC4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C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63194" w:rsidRDefault="00263194" w:rsidP="00C63F84">
      <w:pPr>
        <w:spacing w:before="240"/>
        <w:jc w:val="both"/>
        <w:rPr>
          <w:b/>
          <w:szCs w:val="24"/>
        </w:rPr>
      </w:pPr>
    </w:p>
    <w:p w:rsidR="00C63F84" w:rsidRPr="00F67245" w:rsidRDefault="00C63F84" w:rsidP="00C63F84">
      <w:pPr>
        <w:spacing w:before="240"/>
        <w:jc w:val="both"/>
        <w:rPr>
          <w:b/>
          <w:szCs w:val="24"/>
        </w:rPr>
      </w:pPr>
      <w:r w:rsidRPr="00F67245">
        <w:rPr>
          <w:b/>
          <w:szCs w:val="24"/>
        </w:rPr>
        <w:t>Příklad č. 2: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Jedná se o naprosto identickou situaci jako v příkladu č. 1 s tím rozdílem, že na prodávané parcele není zatím předzahrádka zřízena, přes tuto parcelu se do objektu pouze vstupuje a vlastník objektu A má záměr na parcele B předzahrádku teprve vybudovat? Rozumíme tomu správně, že v tomto případě by se nejednalo o funkční celek se stavbou? Nebo již jen skutečnost, že se přes tuto parcelu do objektu A vstupuje, představuje dostatečnou indicii k tomu, že se o funkční celek s objektem A jedná?</w:t>
      </w:r>
    </w:p>
    <w:p w:rsidR="00C63F84" w:rsidRPr="00F67245" w:rsidRDefault="00C63F84" w:rsidP="00C63F84">
      <w:pPr>
        <w:spacing w:before="240"/>
        <w:jc w:val="both"/>
        <w:rPr>
          <w:b/>
          <w:szCs w:val="24"/>
        </w:rPr>
      </w:pPr>
      <w:r>
        <w:rPr>
          <w:b/>
          <w:szCs w:val="24"/>
        </w:rPr>
        <w:t>Příklad č. 3</w:t>
      </w:r>
      <w:r w:rsidRPr="00F67245">
        <w:rPr>
          <w:b/>
          <w:szCs w:val="24"/>
        </w:rPr>
        <w:t>: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Jedná se o naprosto identickou situaci jako v příkladu č. 1 (tedy včetně pronájmu 60</w:t>
      </w:r>
      <w:r w:rsidR="0077006B">
        <w:rPr>
          <w:szCs w:val="24"/>
        </w:rPr>
        <w:t xml:space="preserve"> </w:t>
      </w:r>
      <w:r>
        <w:rPr>
          <w:szCs w:val="24"/>
        </w:rPr>
        <w:t xml:space="preserve">% parcely pro předzahrádku k objektu A). Parcela ale není prodávána vlastníkovi objektu A, ale jiné osobě (s tím, že kupující ví, že parcela je „zatížena“ nájemní smlouvou a její větší část bude dále pronajímána za účelem zřízení předzahrádky). Rozumíme tomu správně, že v tomto případě by se jednalo o funkční celek s A i v situaci, kdy je parcela B kupována třetí osobou?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 xml:space="preserve">Zároveň žádáme o sdělení, zda si GFŘ uvědomuje problém se získáním informace, zda objekt A prošel podstatnou změnou v situaci, kdy vlastník objektu A není účastníkem transakce.  </w:t>
      </w:r>
    </w:p>
    <w:p w:rsidR="00C63F84" w:rsidRPr="00602FED" w:rsidRDefault="00C63F84" w:rsidP="00C63F84">
      <w:pPr>
        <w:spacing w:before="240"/>
        <w:jc w:val="both"/>
        <w:rPr>
          <w:b/>
          <w:szCs w:val="24"/>
        </w:rPr>
      </w:pPr>
      <w:r w:rsidRPr="00602FED">
        <w:rPr>
          <w:b/>
          <w:szCs w:val="24"/>
        </w:rPr>
        <w:t>Příklad č. 4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Obec prodává neoprávněně zaplocený pozemek u RD (pozemek byl užíván s rodinným domem, je v jeho bezprostřední blízkosti) vlastníkovi RD. Chápeme správně, že se jedná o funkční celek se stavbou RD, neboť pozemek byl s domem užíván (</w:t>
      </w:r>
      <w:proofErr w:type="gramStart"/>
      <w:r>
        <w:rPr>
          <w:szCs w:val="24"/>
        </w:rPr>
        <w:t>byť  bez</w:t>
      </w:r>
      <w:proofErr w:type="gramEnd"/>
      <w:r>
        <w:rPr>
          <w:szCs w:val="24"/>
        </w:rPr>
        <w:t xml:space="preserve"> právního titulu)?</w:t>
      </w:r>
    </w:p>
    <w:p w:rsidR="00C63F84" w:rsidRPr="00602FED" w:rsidRDefault="00C63F84" w:rsidP="00C63F84">
      <w:pPr>
        <w:spacing w:before="240"/>
        <w:jc w:val="both"/>
        <w:rPr>
          <w:b/>
          <w:szCs w:val="24"/>
        </w:rPr>
      </w:pPr>
      <w:r w:rsidRPr="00602FED">
        <w:rPr>
          <w:b/>
          <w:szCs w:val="24"/>
        </w:rPr>
        <w:t xml:space="preserve">Příklad č. </w:t>
      </w:r>
      <w:r>
        <w:rPr>
          <w:b/>
          <w:szCs w:val="24"/>
        </w:rPr>
        <w:t>5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Obec prodává pozemek vedle RD (jedná se zhruba o 20 metrů čtverečních). Situace je obsažena v následujícím zákresu:</w:t>
      </w:r>
    </w:p>
    <w:p w:rsidR="00C63F84" w:rsidRDefault="00C63F84" w:rsidP="00C63F84">
      <w:pPr>
        <w:spacing w:before="240"/>
        <w:jc w:val="both"/>
        <w:rPr>
          <w:szCs w:val="24"/>
        </w:rPr>
      </w:pP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00"/>
        <w:gridCol w:w="1080"/>
      </w:tblGrid>
      <w:tr w:rsidR="00C63F84" w:rsidRPr="00577B91" w:rsidTr="00AE0813">
        <w:trPr>
          <w:trHeight w:val="1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63F84" w:rsidRDefault="00C63F84" w:rsidP="00C63F84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>
        <w:t>Modrá část – stavba RD</w:t>
      </w:r>
    </w:p>
    <w:p w:rsidR="00C63F84" w:rsidRDefault="00C63F84" w:rsidP="00C63F84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>
        <w:t>Zelená část – pozemky vlastníka RD</w:t>
      </w:r>
    </w:p>
    <w:p w:rsidR="00C63F84" w:rsidRPr="00577B91" w:rsidRDefault="00C63F84" w:rsidP="00C63F84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>
        <w:t>Oranžová – prodávané pozemky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Vlastník RD nemá pozemky ohraničeny plotem, přes oranžově vyznačený pozemek má přístup do svých nemovitostí, z oranžově označeného pozemku také udržuje svůj RD (napřík</w:t>
      </w:r>
      <w:r w:rsidR="0077006B">
        <w:rPr>
          <w:szCs w:val="24"/>
        </w:rPr>
        <w:t>lad nátěry štítu, umývání oken</w:t>
      </w:r>
      <w:r>
        <w:rPr>
          <w:szCs w:val="24"/>
        </w:rPr>
        <w:t xml:space="preserve">). Na „oranžovém“ pozemku nemá zřízen plot (nejedná se o pozemek neoprávněně zaplocený). Jedná se v tomto případě o prodej pozemku tvořícího funkční celek se stavbou RD (opakujeme – řešíme „oranžový pozemek“)?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Změnila by se nějak situace, pokud by na oranžově vyznačeném pozemku měl vlastník RD vysázeny růže (bez nějakého speciálního souhlasu obce jako vlastníka pozemku)?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Změnila by se nějak situace, pokud by na oranžově vyznačeném pozemku byla upravena plocha (například zatravňovací dlaždice na části pozemku, které tam umístil vlastník RD) a je tam parkováno voz</w:t>
      </w:r>
      <w:r w:rsidR="0077006B">
        <w:rPr>
          <w:szCs w:val="24"/>
        </w:rPr>
        <w:t>idlo vlastníka RD,</w:t>
      </w:r>
      <w:r>
        <w:rPr>
          <w:szCs w:val="24"/>
        </w:rPr>
        <w:t xml:space="preserve"> opět bez zvláštního souhlasu obce? </w:t>
      </w:r>
    </w:p>
    <w:p w:rsidR="00C63F84" w:rsidRPr="00602FED" w:rsidRDefault="00C63F84" w:rsidP="00C63F84">
      <w:pPr>
        <w:spacing w:before="240"/>
        <w:jc w:val="both"/>
        <w:rPr>
          <w:b/>
          <w:szCs w:val="24"/>
        </w:rPr>
      </w:pPr>
      <w:r w:rsidRPr="00602FED">
        <w:rPr>
          <w:b/>
          <w:szCs w:val="24"/>
        </w:rPr>
        <w:t xml:space="preserve">Příklad č. </w:t>
      </w:r>
      <w:r>
        <w:rPr>
          <w:b/>
          <w:szCs w:val="24"/>
        </w:rPr>
        <w:t>6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Obec prodává rodinný dům a určité související pozemky. Pro zjednodušení se jedná o 1 parcelu pod rodinným domem spolu s tímto RD (modrá část) a dále o rozsáhlou parcelu zhruba 2 tis. metrů čtverečních navazující na dům (zelená část). Tato navazující parcela má v katastru nemovitostí uveden jediný způsob užívání (zahrada). Z hlediska způsobu užívání pozemku vyznačeného zeleně je situace taková, že v části vyznačené čarami (zhruba 300 metrů čtverečních) se objevují plochy sloužící prokazatelně k obsluze RD (zpevněné plochy, vchází se tudy do domu,</w:t>
      </w:r>
      <w:r w:rsidR="0077006B">
        <w:rPr>
          <w:szCs w:val="24"/>
        </w:rPr>
        <w:t xml:space="preserve"> jsou zde třeba drobné kůlny). </w:t>
      </w:r>
      <w:r>
        <w:rPr>
          <w:szCs w:val="24"/>
        </w:rPr>
        <w:t xml:space="preserve">Na tuto část navazuje oplocená zahrada užívaná spolu s domem (tečkovaná část – cca 500 metrů čtverečních). Dále navazuje část, </w:t>
      </w:r>
      <w:r w:rsidR="0077006B">
        <w:rPr>
          <w:szCs w:val="24"/>
        </w:rPr>
        <w:t>která je loukou, sadem atp.,</w:t>
      </w:r>
      <w:r>
        <w:rPr>
          <w:szCs w:val="24"/>
        </w:rPr>
        <w:t xml:space="preserve"> není nijak zaplocena k domu, není ani v současnosti využ</w:t>
      </w:r>
      <w:r w:rsidR="0077006B">
        <w:rPr>
          <w:szCs w:val="24"/>
        </w:rPr>
        <w:t>ívána současným uživatelem domu. J</w:t>
      </w:r>
      <w:r>
        <w:rPr>
          <w:szCs w:val="24"/>
        </w:rPr>
        <w:t>edná se o 1,2 tis. metrů čtverečních.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00"/>
        <w:gridCol w:w="1080"/>
        <w:gridCol w:w="1080"/>
        <w:gridCol w:w="1080"/>
        <w:gridCol w:w="1080"/>
        <w:gridCol w:w="1080"/>
        <w:gridCol w:w="1080"/>
      </w:tblGrid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thinVertStripe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thinVertStripe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thinVertStripe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pct12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pct12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thinVertStripe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pct12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pct12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63F84" w:rsidRPr="00577B91" w:rsidTr="00AE08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thinVertStripe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pct12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pct12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63F84" w:rsidRPr="00577B91" w:rsidRDefault="00C63F84" w:rsidP="00AE08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B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 xml:space="preserve">Bude celý zeleně vyznačený pozemek tvořit funkční celek se stavbou rodinného domu a to i v situaci, kdy spolu s domem (k jeho obsluze) je v současnosti využívaná pouze menší část daného pozemku?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 xml:space="preserve">Představuje případně kritérium „převažující plochy“ vhodné kritérium pro určení, zda se o funkční celek jedná či nikoliv?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Nebo má obec v takovémto případě pro potřeby DPH určit, že část parcely je funkčním celkem s RD a testovat osvobození podle odst. 3 (například „první dvě části parcely“) a část, že není a testovat u této části osvobození podle odst. 1 a to i v situaci, kdy o rozdílném způsobu užívání není jakákoliv zmínka v katastru nemovitostí?</w:t>
      </w:r>
    </w:p>
    <w:p w:rsidR="00C63F84" w:rsidRDefault="00C63F84" w:rsidP="00C63F84">
      <w:pPr>
        <w:spacing w:before="240"/>
        <w:jc w:val="both"/>
        <w:rPr>
          <w:b/>
          <w:szCs w:val="24"/>
        </w:rPr>
      </w:pPr>
    </w:p>
    <w:p w:rsidR="00C63F84" w:rsidRPr="00303E7B" w:rsidRDefault="00C63F84" w:rsidP="00C63F84">
      <w:pPr>
        <w:spacing w:before="240"/>
        <w:jc w:val="both"/>
        <w:rPr>
          <w:b/>
          <w:szCs w:val="24"/>
        </w:rPr>
      </w:pPr>
      <w:r w:rsidRPr="00303E7B">
        <w:rPr>
          <w:b/>
          <w:szCs w:val="24"/>
        </w:rPr>
        <w:t>Příklad č. 7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 xml:space="preserve">Obec odprodává vlastníkovi prodejny v sídlišti parcelu představující zhruba 3 metry široký pás kolem prodejny. V současnosti je pozemek běžnou veřejnou plochou. Důvodem odkupu je, že vlastník objektu obchodu má zájem na tom, aby měl bezproblémový přístup k objektu s možností bez nějakého povolování postavit lešení (pro případ údržby omítky či oken), má zájem také udržovat si bezprostřední okolí obchodu sám (není spokojen s činností technických služeb starajících se veřejnou zeleň). Jedná se v takovémto případě o funkční celek s budovou? Zdůrazňujeme, že v budoucnosti bude parcela sloužit k obsluze objektu prodejny, nyní tak slouží částečně, </w:t>
      </w:r>
      <w:r w:rsidR="00ED54E3">
        <w:rPr>
          <w:szCs w:val="24"/>
        </w:rPr>
        <w:t>kdy je na základě individuálního</w:t>
      </w:r>
      <w:r>
        <w:rPr>
          <w:szCs w:val="24"/>
        </w:rPr>
        <w:t xml:space="preserve"> povolen</w:t>
      </w:r>
      <w:r w:rsidR="00ED54E3">
        <w:rPr>
          <w:szCs w:val="24"/>
        </w:rPr>
        <w:t>í</w:t>
      </w:r>
      <w:r>
        <w:rPr>
          <w:szCs w:val="24"/>
        </w:rPr>
        <w:t xml:space="preserve"> vlastníka pozemku na tomto pozemku třeba stavěno </w:t>
      </w:r>
      <w:r w:rsidR="00ED54E3">
        <w:rPr>
          <w:szCs w:val="24"/>
        </w:rPr>
        <w:t>lešení za účelem péče o objekt atd.</w:t>
      </w:r>
    </w:p>
    <w:p w:rsidR="00C63F84" w:rsidRDefault="00C63F84" w:rsidP="00C63F84">
      <w:pPr>
        <w:spacing w:before="240"/>
        <w:jc w:val="both"/>
        <w:rPr>
          <w:szCs w:val="24"/>
        </w:rPr>
      </w:pPr>
    </w:p>
    <w:p w:rsidR="00C63F84" w:rsidRPr="00577B91" w:rsidRDefault="00C63F84" w:rsidP="00C63F84">
      <w:pPr>
        <w:spacing w:before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Okruh otázek číslo 2</w:t>
      </w:r>
      <w:r w:rsidRPr="00577B91">
        <w:rPr>
          <w:b/>
          <w:szCs w:val="24"/>
          <w:u w:val="single"/>
        </w:rPr>
        <w:t xml:space="preserve"> – </w:t>
      </w:r>
      <w:r>
        <w:rPr>
          <w:b/>
          <w:szCs w:val="24"/>
          <w:u w:val="single"/>
        </w:rPr>
        <w:t>problematika „drobných staveb“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Byť zákon o DPH o tom v §</w:t>
      </w:r>
      <w:r w:rsidR="005D54FB">
        <w:rPr>
          <w:szCs w:val="24"/>
        </w:rPr>
        <w:t xml:space="preserve"> </w:t>
      </w:r>
      <w:r>
        <w:rPr>
          <w:szCs w:val="24"/>
        </w:rPr>
        <w:t>56 odst. 1 nehovoří, předpokládá GFŘ, že existují stavby, které bychom mohli označit jako drobné a přes jejich umístění na pozemku na tyto stavby nemáme hledět jako na určující pro transakci (testujeme případné osvobození na odst. 1, ne odst. 3). S tímto principem souhlasíme, opakujeme však, že vnímáme jako důležité, aby byl tento princip zmíněn v §</w:t>
      </w:r>
      <w:r w:rsidR="005D54FB">
        <w:rPr>
          <w:szCs w:val="24"/>
        </w:rPr>
        <w:t xml:space="preserve"> </w:t>
      </w:r>
      <w:r>
        <w:rPr>
          <w:szCs w:val="24"/>
        </w:rPr>
        <w:t>56 odst. 1 zákona o DPH, což jsme vyjádřili také v rámci vnějších připomínek k novelizaci daňových zákonů od roku 2017. Naše připomínka ale nebyla akceptována.</w:t>
      </w:r>
    </w:p>
    <w:p w:rsidR="00C63F84" w:rsidRDefault="00C63F84" w:rsidP="00C63F84">
      <w:pPr>
        <w:spacing w:before="240"/>
        <w:jc w:val="both"/>
        <w:rPr>
          <w:b/>
          <w:szCs w:val="24"/>
        </w:rPr>
      </w:pPr>
    </w:p>
    <w:p w:rsidR="00C63F84" w:rsidRPr="00303E7B" w:rsidRDefault="00C63F84" w:rsidP="00C63F84">
      <w:pPr>
        <w:spacing w:before="240"/>
        <w:jc w:val="both"/>
        <w:rPr>
          <w:b/>
          <w:szCs w:val="24"/>
        </w:rPr>
      </w:pPr>
      <w:r>
        <w:rPr>
          <w:b/>
          <w:szCs w:val="24"/>
        </w:rPr>
        <w:t>Příklad č. 8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 xml:space="preserve">V rámci dotazu a odpovědi č. 17 GFŘ uvádí příklad s objektem určeným k demolici. Jedná se o příklad, který již zhruba rok prezentujeme jako sporný a nedostáváme jasnou odpověď. Upozorňujeme ještě k tomu, že v judikátu ESD č. C 461/08, který GFŘ zmiňuje, byla situace taková, že demoliční práce v okamžiku dodání byly již zahájeny.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Obecně nejsme proti názoru GFŘ, že u objektu určeného k demolici máme na objekt h</w:t>
      </w:r>
      <w:r w:rsidR="005D54FB">
        <w:rPr>
          <w:szCs w:val="24"/>
        </w:rPr>
        <w:t xml:space="preserve">ledět jako na „drobnou stavu“, tzn. </w:t>
      </w:r>
      <w:r>
        <w:rPr>
          <w:szCs w:val="24"/>
        </w:rPr>
        <w:t>neurčující pro posouzení příslušné transakce. Je ale nezbytné definovat, co znamená, že „objekt je určen k demolici“.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Teoretické varianty určení toho, že objekt je určen k demolici a nemá se na něj hledět jako na určující:</w:t>
      </w:r>
    </w:p>
    <w:p w:rsidR="00C63F84" w:rsidRPr="00425876" w:rsidRDefault="00C63F84" w:rsidP="00C63F84">
      <w:pPr>
        <w:pStyle w:val="Odstavecseseznamem"/>
        <w:numPr>
          <w:ilvl w:val="0"/>
          <w:numId w:val="6"/>
        </w:numPr>
        <w:spacing w:before="240"/>
        <w:ind w:left="426"/>
        <w:contextualSpacing w:val="0"/>
        <w:jc w:val="both"/>
      </w:pPr>
      <w:r w:rsidRPr="00425876">
        <w:t>VAR 1: k okamžiku dodání byly zahájeny demoliční práce (je irelevantní, zda jsou hrazeny prodávajícím nebo kupujícím)</w:t>
      </w:r>
      <w:r w:rsidR="00F369EA">
        <w:t>,</w:t>
      </w:r>
      <w:r>
        <w:t xml:space="preserve"> přitom je zřejmé, že demolice se týká celého objektu</w:t>
      </w:r>
    </w:p>
    <w:p w:rsidR="00C63F84" w:rsidRPr="00425876" w:rsidRDefault="00C63F84" w:rsidP="00C63F84">
      <w:pPr>
        <w:pStyle w:val="Odstavecseseznamem"/>
        <w:numPr>
          <w:ilvl w:val="0"/>
          <w:numId w:val="6"/>
        </w:numPr>
        <w:spacing w:before="240"/>
        <w:ind w:left="426"/>
        <w:contextualSpacing w:val="0"/>
        <w:jc w:val="both"/>
      </w:pPr>
      <w:proofErr w:type="gramStart"/>
      <w:r w:rsidRPr="00425876">
        <w:t>VAR  2: k okamžiku</w:t>
      </w:r>
      <w:proofErr w:type="gramEnd"/>
      <w:r w:rsidRPr="00425876">
        <w:t xml:space="preserve"> dodání byly učiněny správní úkony, které povolují provedení demolice (souhlas s provedením demoličních prací)</w:t>
      </w:r>
      <w:r w:rsidR="00F369EA">
        <w:t xml:space="preserve">, </w:t>
      </w:r>
      <w:r>
        <w:t>demolice se týká celého objektu</w:t>
      </w:r>
    </w:p>
    <w:p w:rsidR="00C63F84" w:rsidRDefault="00C63F84" w:rsidP="00C63F84">
      <w:pPr>
        <w:pStyle w:val="Odstavecseseznamem"/>
        <w:numPr>
          <w:ilvl w:val="0"/>
          <w:numId w:val="6"/>
        </w:numPr>
        <w:spacing w:before="240"/>
        <w:ind w:left="426"/>
        <w:contextualSpacing w:val="0"/>
        <w:jc w:val="both"/>
      </w:pPr>
      <w:r w:rsidRPr="00425876">
        <w:t>VAR 3: obecně se ví, že objekt na pozemku by měl být stržen a kupující bude stavět objekt nový</w:t>
      </w:r>
      <w:r>
        <w:t xml:space="preserve"> (tato skutečnost může a nemusí být uvedena v kupní smlouvě)</w:t>
      </w:r>
    </w:p>
    <w:p w:rsidR="00C63F84" w:rsidRPr="00425876" w:rsidRDefault="00C63F84" w:rsidP="00C63F84">
      <w:pPr>
        <w:pStyle w:val="Odstavecseseznamem"/>
        <w:numPr>
          <w:ilvl w:val="0"/>
          <w:numId w:val="6"/>
        </w:numPr>
        <w:spacing w:before="240"/>
        <w:ind w:left="426"/>
        <w:contextualSpacing w:val="0"/>
        <w:jc w:val="both"/>
      </w:pPr>
      <w:r>
        <w:t>VAR 4: z technického stavu nemovitosti by prodávající mohl předjímat, že kupující objekt strhne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Vzhledem k neurčitosti</w:t>
      </w:r>
      <w:r w:rsidR="00F369EA">
        <w:rPr>
          <w:szCs w:val="24"/>
        </w:rPr>
        <w:t xml:space="preserve"> situací uvedených ve VAR 3 a 4</w:t>
      </w:r>
      <w:r>
        <w:rPr>
          <w:szCs w:val="24"/>
        </w:rPr>
        <w:t xml:space="preserve"> se domníváme, že by rozhodující pro určení, zda objekt je či není určen k demolici, měly být skutečnosti ve VAR 1 či VAR 2. 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Zde žádáme o stanovisko k výše uvedenému návrhu, případně navržení jiného kritéria, které by však mělo být natolik jednoznačné, aby nevyvolávalo pochybnosti.</w:t>
      </w:r>
    </w:p>
    <w:p w:rsidR="00C63F84" w:rsidRDefault="00C63F84" w:rsidP="00C63F84">
      <w:pPr>
        <w:spacing w:before="240"/>
        <w:jc w:val="both"/>
        <w:rPr>
          <w:szCs w:val="24"/>
        </w:rPr>
      </w:pPr>
    </w:p>
    <w:p w:rsidR="00C63F84" w:rsidRPr="00425876" w:rsidRDefault="00C63F84" w:rsidP="00C63F84">
      <w:pPr>
        <w:spacing w:before="240"/>
        <w:jc w:val="both"/>
        <w:rPr>
          <w:b/>
          <w:szCs w:val="24"/>
        </w:rPr>
      </w:pPr>
      <w:r w:rsidRPr="00425876">
        <w:rPr>
          <w:b/>
          <w:szCs w:val="24"/>
        </w:rPr>
        <w:t>Příklad č. 9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Obec prodává pozemek (500 metrů čtverečních), na jehož části (cca 100 metrů čtverečních) je umístěna zpevněná plocha (starý asfaltový povrch ne již v moc dobrém technickém stavu). Nemůžeme zároveň říci, že by tento pozemek tvořil funkční celek s nějakou okolní budovou. Máme stavbu zpevněné plochy považovat za „drobnou stavbu“ a testování z hlediska osvobození při dodání pozemku provádět podle §</w:t>
      </w:r>
      <w:r w:rsidR="00F369EA">
        <w:rPr>
          <w:szCs w:val="24"/>
        </w:rPr>
        <w:t xml:space="preserve"> </w:t>
      </w:r>
      <w:r>
        <w:rPr>
          <w:szCs w:val="24"/>
        </w:rPr>
        <w:t>56 odst. 1 nebo je to stavba určující a řešíme §</w:t>
      </w:r>
      <w:r w:rsidR="00F369EA">
        <w:rPr>
          <w:szCs w:val="24"/>
        </w:rPr>
        <w:t xml:space="preserve"> </w:t>
      </w:r>
      <w:r>
        <w:rPr>
          <w:szCs w:val="24"/>
        </w:rPr>
        <w:t>56 odst. 3?</w:t>
      </w:r>
    </w:p>
    <w:p w:rsidR="00C63F84" w:rsidRDefault="00C63F84" w:rsidP="00C63F84">
      <w:pPr>
        <w:spacing w:before="240"/>
        <w:jc w:val="both"/>
        <w:rPr>
          <w:szCs w:val="24"/>
        </w:rPr>
      </w:pPr>
      <w:r>
        <w:rPr>
          <w:szCs w:val="24"/>
        </w:rPr>
        <w:t>Mají na tato posuzování vliv následující skutečnosti:</w:t>
      </w:r>
    </w:p>
    <w:p w:rsidR="00C63F84" w:rsidRDefault="00F369EA" w:rsidP="00C63F84">
      <w:pPr>
        <w:pStyle w:val="Odstavecseseznamem"/>
        <w:numPr>
          <w:ilvl w:val="0"/>
          <w:numId w:val="7"/>
        </w:numPr>
        <w:spacing w:before="240"/>
        <w:ind w:left="426"/>
        <w:contextualSpacing w:val="0"/>
        <w:jc w:val="both"/>
      </w:pPr>
      <w:r>
        <w:t>J</w:t>
      </w:r>
      <w:r w:rsidR="00C63F84" w:rsidRPr="007D207E">
        <w:t xml:space="preserve">e významné, jak je daná plocha veliká? Změnilo by něco, pokud by byla pouze 20 metrů čtverečních či pokud by naopak byla 300 metrů čtverečních? Pokud ano, kde </w:t>
      </w:r>
      <w:r w:rsidR="00C63F84">
        <w:t>dle názoru GFŘ leží příslušná hranice?</w:t>
      </w:r>
    </w:p>
    <w:p w:rsidR="00C63F84" w:rsidRDefault="00F369EA" w:rsidP="00C63F84">
      <w:pPr>
        <w:pStyle w:val="Odstavecseseznamem"/>
        <w:numPr>
          <w:ilvl w:val="0"/>
          <w:numId w:val="7"/>
        </w:numPr>
        <w:spacing w:before="240"/>
        <w:ind w:left="426"/>
        <w:contextualSpacing w:val="0"/>
        <w:jc w:val="both"/>
      </w:pPr>
      <w:r>
        <w:t>M</w:t>
      </w:r>
      <w:r w:rsidR="00C63F84">
        <w:t>á nějaký význam technický stav té</w:t>
      </w:r>
      <w:r>
        <w:t>to plochy? Pokud by byla stará a</w:t>
      </w:r>
      <w:r w:rsidR="00C63F84">
        <w:t> již obtížně využitelná (materiál se drolí)</w:t>
      </w:r>
      <w:r>
        <w:t>,</w:t>
      </w:r>
      <w:r w:rsidR="00C63F84">
        <w:t xml:space="preserve"> mělo by to nějaký vliv na posuzování?</w:t>
      </w:r>
    </w:p>
    <w:p w:rsidR="00C63F84" w:rsidRDefault="00F369EA" w:rsidP="00C63F84">
      <w:pPr>
        <w:pStyle w:val="Odstavecseseznamem"/>
        <w:numPr>
          <w:ilvl w:val="0"/>
          <w:numId w:val="7"/>
        </w:numPr>
        <w:spacing w:before="240"/>
        <w:ind w:left="426"/>
        <w:contextualSpacing w:val="0"/>
        <w:jc w:val="both"/>
      </w:pPr>
      <w:r>
        <w:t>J</w:t>
      </w:r>
      <w:r w:rsidR="00C63F84">
        <w:t>e významné, že kupující má záměr na daném pozemku postavit lehkou skladovací halu (k tomuto záměru nebyly učiněny zatím správní úkony</w:t>
      </w:r>
      <w:r>
        <w:t>,</w:t>
      </w:r>
      <w:r w:rsidR="00C63F84">
        <w:t xml:space="preserve"> je to zatím pouze myšlenka kupujícího) a zpevněnou plochu zamýšlí odstranit, aby tam halu postavil (plocha je na 90</w:t>
      </w:r>
      <w:r>
        <w:t xml:space="preserve"> </w:t>
      </w:r>
      <w:r w:rsidR="00C63F84">
        <w:t xml:space="preserve">% prodávaného pozemku)? </w:t>
      </w:r>
    </w:p>
    <w:p w:rsidR="00C63F84" w:rsidRDefault="00C63F84" w:rsidP="00C63F84">
      <w:pPr>
        <w:pStyle w:val="Odstavecseseznamem"/>
        <w:numPr>
          <w:ilvl w:val="0"/>
          <w:numId w:val="7"/>
        </w:numPr>
        <w:spacing w:before="240"/>
        <w:ind w:left="426"/>
        <w:contextualSpacing w:val="0"/>
        <w:jc w:val="both"/>
      </w:pPr>
      <w:r>
        <w:t xml:space="preserve">Změnila by se nějak situace, když by zpevněnou plochu chtěl využít po drobných úpravách jako „podlahu“ lehké skladovací haly? </w:t>
      </w:r>
    </w:p>
    <w:p w:rsidR="00C63F84" w:rsidRDefault="00C63F84" w:rsidP="00C63F84">
      <w:pPr>
        <w:spacing w:before="240"/>
        <w:ind w:left="66"/>
        <w:jc w:val="both"/>
      </w:pPr>
    </w:p>
    <w:p w:rsidR="00C63F84" w:rsidRPr="00577B91" w:rsidRDefault="00C63F84" w:rsidP="00C63F84">
      <w:pPr>
        <w:spacing w:before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Okruh otázek číslo 3</w:t>
      </w:r>
      <w:r w:rsidRPr="00577B91">
        <w:rPr>
          <w:b/>
          <w:szCs w:val="24"/>
          <w:u w:val="single"/>
        </w:rPr>
        <w:t xml:space="preserve"> – </w:t>
      </w:r>
      <w:r>
        <w:rPr>
          <w:b/>
          <w:szCs w:val="24"/>
          <w:u w:val="single"/>
        </w:rPr>
        <w:t>problematika „správních úkonů“</w:t>
      </w:r>
    </w:p>
    <w:p w:rsidR="00C63F84" w:rsidRDefault="00C63F84" w:rsidP="00C63F84">
      <w:pPr>
        <w:spacing w:before="240"/>
        <w:ind w:left="66"/>
        <w:jc w:val="both"/>
      </w:pPr>
      <w:r>
        <w:t>Nesouhlasím</w:t>
      </w:r>
      <w:r w:rsidR="00FD4F84">
        <w:t xml:space="preserve">e s názorem GFŘ (a tento názor </w:t>
      </w:r>
      <w:r>
        <w:t>je podle našeho názoru v rozporu s důvodovou zprávou a se zněním zákona o DPH), že schválení územního plánu již představuje správní úkon týkající se této stavby, neboť skutečnost, že je pozemek umístěn v lokalitě určené k nějakému typu výstavby nemusí znamenat, že je určen k zastavění. Beze sporu i v těchto lokalitách vznikají pozemky, které nikdy nebudou určeny k zástavbě. Nechceme v tento moment s názorem GFŘ polemizovat. Jedná se nám ale o vyjasnění některých sporných momentů, které vidíme u určení „stavebního pozemku“ i v případě, že bude aplikovat postup deklarovaný ze strany GFŘ.</w:t>
      </w:r>
    </w:p>
    <w:p w:rsidR="00263194" w:rsidRDefault="00263194" w:rsidP="00263194">
      <w:pPr>
        <w:spacing w:before="240"/>
        <w:jc w:val="both"/>
        <w:rPr>
          <w:b/>
        </w:rPr>
      </w:pPr>
      <w:r>
        <w:rPr>
          <w:b/>
        </w:rPr>
        <w:t xml:space="preserve"> </w:t>
      </w:r>
    </w:p>
    <w:p w:rsidR="00C63F84" w:rsidRPr="006F3E33" w:rsidRDefault="00263194" w:rsidP="00263194">
      <w:pPr>
        <w:spacing w:before="240"/>
        <w:jc w:val="both"/>
        <w:rPr>
          <w:b/>
        </w:rPr>
      </w:pPr>
      <w:r>
        <w:rPr>
          <w:b/>
        </w:rPr>
        <w:t xml:space="preserve"> </w:t>
      </w:r>
      <w:r w:rsidR="00C63F84" w:rsidRPr="006F3E33">
        <w:rPr>
          <w:b/>
        </w:rPr>
        <w:t>Příklad č. 10</w:t>
      </w:r>
    </w:p>
    <w:p w:rsidR="00C63F84" w:rsidRDefault="00C63F84" w:rsidP="00C63F84">
      <w:pPr>
        <w:spacing w:before="240"/>
        <w:ind w:left="66"/>
        <w:jc w:val="both"/>
      </w:pPr>
      <w:r>
        <w:t>Obec prodává pozemek osobě B (pole, neurčeno k výstavbě). Na této louce se má stavět plynovod (bude stavět společnost C, která není účastníkem transakce mezi obcí a subjektem B). Bylo vydáno stavební povolení. Dotaz zní, zda se bude jednat o stavební pozemek v situaci, kdy je vydáno stavební povolení na vybudování stavby, která s pozemkem nebude tvořit funkční celek (stavba sítě ve vlastnictví jiné osoby než je vlastník pozemku). Domníváme se, že by se správně o stavební pozemek jednat nemělo a že se jedná o analogii se situací zmiňovanou v dotazu a odpovědi GFŘ č. 4, podle které v případě, že by pozemek mohl být zastavěn pouze drobnými stavbami, tak se na něj nehledí jako na stavební. Ze současného znění zákona ale takový</w:t>
      </w:r>
      <w:r w:rsidR="00FD4F84">
        <w:t xml:space="preserve">to závěr nevyplývá a žádáme </w:t>
      </w:r>
      <w:r>
        <w:t>o sdělení postoje finanční správy.</w:t>
      </w:r>
    </w:p>
    <w:p w:rsidR="00C63F84" w:rsidRDefault="00C63F84" w:rsidP="00C63F84">
      <w:pPr>
        <w:spacing w:before="240"/>
        <w:ind w:left="66"/>
        <w:jc w:val="both"/>
      </w:pPr>
    </w:p>
    <w:p w:rsidR="00C63F84" w:rsidRPr="007270CD" w:rsidRDefault="00C63F84" w:rsidP="00C63F84">
      <w:pPr>
        <w:spacing w:before="240"/>
        <w:ind w:left="66"/>
        <w:jc w:val="both"/>
        <w:rPr>
          <w:b/>
        </w:rPr>
      </w:pPr>
      <w:r w:rsidRPr="007270CD">
        <w:rPr>
          <w:b/>
        </w:rPr>
        <w:t>Příklad č. 11</w:t>
      </w:r>
    </w:p>
    <w:p w:rsidR="00C63F84" w:rsidRDefault="00C63F84" w:rsidP="00C63F84">
      <w:pPr>
        <w:spacing w:before="240"/>
        <w:ind w:left="66"/>
        <w:jc w:val="both"/>
      </w:pPr>
      <w:r>
        <w:t xml:space="preserve">Řešíme otázku DPH u převodu pozemku, který je v lokalitě určené historicky územním plánem k zástavbě pro bydlení. Příslušná lokalita je již „standardně zastavěna“ rodinnými domy (zástavba z let 1970 – 1980). Obec v této lokalitě prodává pozemek o rozloze 50 metrů čtverečních jednomu z vlastníků RD pozemek, který mu umožní zvětšit si jeho zahradu (pozemek nyní netvoří funkční celek se stavbou). Tento pozemek je nyní podle katastru nemovitostí ostatní plochou. Jak bylo v dotazech a odpovědích zveřejněných ze strany GFŘ uvedeno (odpověď č. 4), i v lokalitě určené územním plánem k zástavbě pro bydlení existují pozemky, které zastavěny nebudou a na které nemáme hledět jako na stavební. </w:t>
      </w:r>
    </w:p>
    <w:p w:rsidR="00C63F84" w:rsidRDefault="00C63F84" w:rsidP="00C63F84">
      <w:pPr>
        <w:spacing w:before="240"/>
        <w:ind w:left="66"/>
        <w:jc w:val="both"/>
      </w:pPr>
      <w:r>
        <w:t>Chceme se dotázat, zda by i případ, který zde popisujeme, mohl být případem, kdy se na pozemek nebude hledět jako na stavební (opakujeme, že z hlediska svého charakteru pozemku není určen k zastavění, nesplňuje však charakteristiky plochy zmiňované v odpovědi GFŘ).  Obdobným případem by mohl být například pozemek, na kterém není možná výstavba v</w:t>
      </w:r>
      <w:r w:rsidR="00FD4F84">
        <w:t> důsledku umístění vedení sítě.</w:t>
      </w:r>
    </w:p>
    <w:p w:rsidR="00C63F84" w:rsidRDefault="00C63F84" w:rsidP="00C63F84">
      <w:pPr>
        <w:spacing w:before="240"/>
        <w:ind w:left="66"/>
        <w:jc w:val="both"/>
      </w:pPr>
      <w:r>
        <w:t xml:space="preserve">V této souvislosti žádáme o sdělení, jakým způsobem by podle finanční správy mělo být prokazováno, že se o stavební pozemek nejedná (například stanovisko stavebního úřadu, že pozemek není možné využít pro umístění rodinného domu?). </w:t>
      </w:r>
    </w:p>
    <w:p w:rsidR="00C63F84" w:rsidRDefault="00C63F84" w:rsidP="00C63F84">
      <w:pPr>
        <w:spacing w:before="240"/>
        <w:ind w:left="66"/>
        <w:jc w:val="both"/>
      </w:pPr>
      <w:r>
        <w:t xml:space="preserve">Zároveň upozorňujeme, že pokud GFŘ bude považovat pozemek, který uvádíme v příkladu za stavební, tak dle našeho názoru budou v rozporu se směrnicí EU předmětem zdanění také pozemky, které k zastavění určeny nejsou.   </w:t>
      </w:r>
    </w:p>
    <w:p w:rsidR="00C63F84" w:rsidRDefault="00C63F84" w:rsidP="00C63F84">
      <w:pPr>
        <w:spacing w:before="240"/>
        <w:ind w:left="66"/>
        <w:jc w:val="both"/>
      </w:pPr>
    </w:p>
    <w:p w:rsidR="00C63F84" w:rsidRPr="00577B91" w:rsidRDefault="00C63F84" w:rsidP="00C63F84">
      <w:pPr>
        <w:spacing w:before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Okruh otázek číslo 4</w:t>
      </w:r>
      <w:r w:rsidRPr="00577B91">
        <w:rPr>
          <w:b/>
          <w:szCs w:val="24"/>
          <w:u w:val="single"/>
        </w:rPr>
        <w:t xml:space="preserve"> – </w:t>
      </w:r>
      <w:r>
        <w:rPr>
          <w:b/>
          <w:szCs w:val="24"/>
          <w:u w:val="single"/>
        </w:rPr>
        <w:t>sazba DPH při dodání pozemku</w:t>
      </w:r>
    </w:p>
    <w:p w:rsidR="00C63F84" w:rsidRDefault="00C63F84" w:rsidP="00C63F84">
      <w:pPr>
        <w:spacing w:before="240"/>
        <w:ind w:left="66"/>
        <w:jc w:val="both"/>
      </w:pPr>
      <w:r>
        <w:t>Zásadní nejasnosti nám také vznikají při interpretaci znění §</w:t>
      </w:r>
      <w:r w:rsidR="00FD4F84">
        <w:t xml:space="preserve"> </w:t>
      </w:r>
      <w:r>
        <w:t>49 odst. 3 písm. b), podle kterého se sazba DPH ve výši 15</w:t>
      </w:r>
      <w:r w:rsidR="00FD4F84">
        <w:t xml:space="preserve"> </w:t>
      </w:r>
      <w:r>
        <w:t>% použije také u dodání pozemku, jehož součástí není jiná stavba než stavba pro sociální bydlení. Nyní nám jde o vysvětlení, jak máme chápat so</w:t>
      </w:r>
      <w:r w:rsidR="00FD4F84">
        <w:t>usloví „jehož součástí“ a také</w:t>
      </w:r>
      <w:r>
        <w:t>, zda v tomto případě schválně nebylo použito kritérium „funkční celek se stavbou“.</w:t>
      </w:r>
    </w:p>
    <w:p w:rsidR="00C63F84" w:rsidRDefault="00C63F84" w:rsidP="00C63F84">
      <w:pPr>
        <w:spacing w:before="240"/>
        <w:ind w:left="66"/>
        <w:jc w:val="both"/>
      </w:pPr>
      <w:r>
        <w:t>Sousloví „jehož součástí“ lze chápat následovně:</w:t>
      </w:r>
    </w:p>
    <w:p w:rsidR="00C63F84" w:rsidRDefault="00C63F84" w:rsidP="00C63F84">
      <w:pPr>
        <w:pStyle w:val="Odstavecseseznamem"/>
        <w:numPr>
          <w:ilvl w:val="0"/>
          <w:numId w:val="8"/>
        </w:numPr>
        <w:spacing w:before="240"/>
        <w:contextualSpacing w:val="0"/>
        <w:jc w:val="both"/>
      </w:pPr>
      <w:r>
        <w:t>součástí pozemku v právním slova smyslu</w:t>
      </w:r>
    </w:p>
    <w:p w:rsidR="00C63F84" w:rsidRDefault="00C63F84" w:rsidP="00C63F84">
      <w:pPr>
        <w:pStyle w:val="Odstavecseseznamem"/>
        <w:numPr>
          <w:ilvl w:val="0"/>
          <w:numId w:val="8"/>
        </w:numPr>
        <w:spacing w:before="240"/>
        <w:contextualSpacing w:val="0"/>
        <w:jc w:val="both"/>
      </w:pPr>
      <w:r>
        <w:t>součástí pozemku – fyzicky (umístěný na pozemku).</w:t>
      </w:r>
    </w:p>
    <w:p w:rsidR="00C63F84" w:rsidRDefault="00C63F84" w:rsidP="00C63F84">
      <w:pPr>
        <w:spacing w:before="240"/>
        <w:ind w:left="66"/>
        <w:jc w:val="both"/>
      </w:pPr>
      <w:r>
        <w:t>Odpověď na tuto nejasnost jsme nenašli ani v materiálech GFŘ, ani v důvodové zprávě k zákonu o DPH.</w:t>
      </w:r>
    </w:p>
    <w:p w:rsidR="00263194" w:rsidRDefault="00263194" w:rsidP="00C63F84">
      <w:pPr>
        <w:spacing w:before="240"/>
        <w:ind w:left="66"/>
        <w:jc w:val="both"/>
        <w:rPr>
          <w:b/>
        </w:rPr>
      </w:pPr>
    </w:p>
    <w:p w:rsidR="00C63F84" w:rsidRPr="006E2CFD" w:rsidRDefault="00C63F84" w:rsidP="00C63F84">
      <w:pPr>
        <w:spacing w:before="240"/>
        <w:ind w:left="66"/>
        <w:jc w:val="both"/>
        <w:rPr>
          <w:b/>
        </w:rPr>
      </w:pPr>
      <w:r w:rsidRPr="006E2CFD">
        <w:rPr>
          <w:b/>
        </w:rPr>
        <w:t>Příklad č. 12</w:t>
      </w:r>
    </w:p>
    <w:p w:rsidR="00C63F84" w:rsidRDefault="00C63F84" w:rsidP="00C63F84">
      <w:pPr>
        <w:spacing w:before="240"/>
        <w:ind w:left="66"/>
        <w:jc w:val="both"/>
      </w:pPr>
      <w:r>
        <w:t xml:space="preserve"> Obec prodává pozemek pod bytovým domem (vlastníkem bytového domu je bytové družstvo, stav rozdílného vlastnictví domu a pozemku vznikl ještě před novým občanským zákoníkem). Pokud je chápána součást pozemku ve smyslu právním, tak v tomto případě by měla být aplikována sazba 21</w:t>
      </w:r>
      <w:r w:rsidR="00FD4F84">
        <w:t xml:space="preserve"> </w:t>
      </w:r>
      <w:r>
        <w:t>%, pokud není splněn test pro osvobození podle §</w:t>
      </w:r>
      <w:r w:rsidR="00FD4F84">
        <w:t xml:space="preserve"> </w:t>
      </w:r>
      <w:r>
        <w:t>56 odst. 3. V případě, že jde ale o fyzické umístění stavby na pozemku – byla by aplikována sazba daně ve výši 15</w:t>
      </w:r>
      <w:r w:rsidR="00FD4F84">
        <w:t xml:space="preserve"> </w:t>
      </w:r>
      <w:r>
        <w:t>%. Žádáme o sdělení, který pohled je správný.</w:t>
      </w:r>
    </w:p>
    <w:p w:rsidR="00C63F84" w:rsidRDefault="00C63F84" w:rsidP="00C63F84">
      <w:pPr>
        <w:spacing w:before="240"/>
        <w:ind w:left="66"/>
        <w:jc w:val="both"/>
      </w:pPr>
    </w:p>
    <w:p w:rsidR="00C63F84" w:rsidRPr="006E2CFD" w:rsidRDefault="00C63F84" w:rsidP="00C63F84">
      <w:pPr>
        <w:spacing w:before="240"/>
        <w:ind w:left="66"/>
        <w:jc w:val="both"/>
        <w:rPr>
          <w:b/>
        </w:rPr>
      </w:pPr>
      <w:r>
        <w:rPr>
          <w:b/>
        </w:rPr>
        <w:t>Příklad č. 13</w:t>
      </w:r>
    </w:p>
    <w:p w:rsidR="00C63F84" w:rsidRDefault="00C63F84" w:rsidP="00C63F84">
      <w:pPr>
        <w:spacing w:before="240"/>
        <w:ind w:left="66"/>
        <w:jc w:val="both"/>
      </w:pPr>
      <w:r>
        <w:t xml:space="preserve"> Obec prodává pozemek pod rodinným domem (již proběhla jeho kolaudace). K tomuto pozemku bylo zřízeno právo stavby, na základě kterého byl RD postaven. Nyní je realizován prodej pozemku osobě, v jejíž prospěch bylo věcné břemeno zřízeno. Právní součástí pozemku je stavba RD a pokud splňuje charakteristiku stavby pro sociální bydlení, bude aplikována sazba 15</w:t>
      </w:r>
      <w:r w:rsidR="00FD4F84">
        <w:t xml:space="preserve"> </w:t>
      </w:r>
      <w:r>
        <w:t>% (pokud je RD novostavbou)?</w:t>
      </w:r>
    </w:p>
    <w:p w:rsidR="00C63F84" w:rsidRDefault="00C63F84" w:rsidP="00C63F84">
      <w:pPr>
        <w:spacing w:before="240"/>
        <w:ind w:left="66"/>
        <w:jc w:val="both"/>
      </w:pPr>
      <w:r>
        <w:t>Jak by to bylo v případě, když by předmětem prodeje byl jednak pozemek A na kterém je umístěna stavba RD a dále okolní pozemek B tvořící funkční celek se stavbou RD, na kterém ale žádná stavba umístěna není. Znamenalo by to, že na pozemek A by bylo nezbytné aplikovat sníženou sazbu a na pozemek B sazbu základní?</w:t>
      </w:r>
    </w:p>
    <w:p w:rsidR="00C63F84" w:rsidRDefault="00C63F84" w:rsidP="00C63F84">
      <w:pPr>
        <w:spacing w:before="240"/>
        <w:ind w:left="66"/>
        <w:jc w:val="both"/>
      </w:pPr>
      <w:r>
        <w:t>Pokud by na pozemku B byla umístěna nějaká stavba splňující podmínky §</w:t>
      </w:r>
      <w:r w:rsidR="00FD4F84">
        <w:t xml:space="preserve"> </w:t>
      </w:r>
      <w:r>
        <w:t>45</w:t>
      </w:r>
      <w:r w:rsidR="00F636D9">
        <w:t xml:space="preserve"> odst. 5 písm. l</w:t>
      </w:r>
      <w:r>
        <w:t xml:space="preserve"> (plot, chodníček), znamenalo by to, že by měla být i u B aplikována sazba DPH ve výši 15</w:t>
      </w:r>
      <w:r w:rsidR="00FD4F84">
        <w:t xml:space="preserve"> </w:t>
      </w:r>
      <w:r>
        <w:t>%?</w:t>
      </w:r>
    </w:p>
    <w:p w:rsidR="00C63F84" w:rsidRPr="00F636D9" w:rsidRDefault="00C63F84" w:rsidP="00F636D9">
      <w:pPr>
        <w:spacing w:before="240"/>
        <w:ind w:left="66"/>
        <w:jc w:val="both"/>
      </w:pPr>
      <w:r>
        <w:t xml:space="preserve"> </w:t>
      </w:r>
      <w:r>
        <w:rPr>
          <w:b/>
        </w:rPr>
        <w:t>Příklad č. 14</w:t>
      </w:r>
    </w:p>
    <w:p w:rsidR="00C63F84" w:rsidRDefault="00C63F84" w:rsidP="00C63F84">
      <w:pPr>
        <w:spacing w:before="240"/>
        <w:ind w:left="66"/>
        <w:jc w:val="both"/>
      </w:pPr>
      <w:r>
        <w:t xml:space="preserve"> Obec prodává pozemek pod rozestavěným rodinným domem, přitom ze stavebního povolení (ohlášení stavby) vyplývá, že RD má splňovat charakteristiku stavby pro sociální bydlení. K tomuto pozemku bylo zřízeno právo stavby, na základě kterého se RD staví. Nyní je realizován prodej pozemku osobě, v jejíž prospěch bylo právo stavby zřízeno. Právní součástí pozemku je stavba rozestavěného RD a pokud splňuje charakteristiku stavby pro sociální bydlení, bude aplikována sazba 15</w:t>
      </w:r>
      <w:r w:rsidR="00FD4F84">
        <w:t xml:space="preserve"> </w:t>
      </w:r>
      <w:r>
        <w:t>%? Měl by na tuto skutečnost vliv stupeň rozestavěnosti RD (například varianty – základová deska, hrubá stavba)?</w:t>
      </w:r>
    </w:p>
    <w:p w:rsidR="00C63F84" w:rsidRDefault="00C63F84" w:rsidP="00F636D9">
      <w:pPr>
        <w:spacing w:before="240"/>
        <w:jc w:val="both"/>
      </w:pPr>
    </w:p>
    <w:p w:rsidR="00C63F84" w:rsidRDefault="00C63F84" w:rsidP="00263194">
      <w:pPr>
        <w:spacing w:before="240"/>
        <w:ind w:left="66" w:firstLine="643"/>
        <w:jc w:val="both"/>
      </w:pPr>
      <w:r>
        <w:t>Na závěr bychom chtěli poukázat na skutečnost, že problematika vymezení, co je správním úkonem způsobujícím to, že určitý pozemek</w:t>
      </w:r>
      <w:r w:rsidR="00263194">
        <w:t xml:space="preserve"> je stavební, byla ze strany Svazu</w:t>
      </w:r>
      <w:r>
        <w:t xml:space="preserve"> dotazována již v roce 2015. Z odpovědi ing. </w:t>
      </w:r>
      <w:proofErr w:type="spellStart"/>
      <w:r>
        <w:t>Hornochové</w:t>
      </w:r>
      <w:proofErr w:type="spellEnd"/>
      <w:r>
        <w:t xml:space="preserve">, tehdejší náměstkyně ministerstva financí, vyplývalo, že obecné schválení územního plánem není správním úkonem, který by způsoboval, že se jedná o stavební pozemek. Tuto odpověď jsme předali členským obcím, které s ní podle svého uvážení v dobré víře konaly. V této souvislosti předpokládáme, že by finanční správa měla respektovat minimálně po určitou dobu případy, kdy obce posuzovaly charakteristiku stavebních pozemků ve smyslu této odpovědi.  </w:t>
      </w:r>
    </w:p>
    <w:p w:rsidR="00263194" w:rsidRDefault="00263194" w:rsidP="00C63F84">
      <w:pPr>
        <w:spacing w:before="240"/>
        <w:ind w:left="66"/>
        <w:jc w:val="both"/>
      </w:pPr>
    </w:p>
    <w:p w:rsidR="00C63F84" w:rsidRDefault="00C63F84" w:rsidP="00263194">
      <w:pPr>
        <w:spacing w:before="240"/>
        <w:ind w:left="66" w:firstLine="643"/>
        <w:jc w:val="both"/>
      </w:pPr>
      <w:r>
        <w:t>S pozdravem</w:t>
      </w:r>
    </w:p>
    <w:p w:rsidR="00C63F84" w:rsidRDefault="00C63F84" w:rsidP="00C63F84">
      <w:pPr>
        <w:spacing w:before="240"/>
        <w:ind w:left="66"/>
        <w:jc w:val="both"/>
      </w:pPr>
      <w:r>
        <w:t xml:space="preserve">                                  </w:t>
      </w:r>
    </w:p>
    <w:p w:rsidR="00C63F84" w:rsidRDefault="00C63F84" w:rsidP="00C63F84">
      <w:pPr>
        <w:spacing w:before="240"/>
        <w:ind w:left="66"/>
        <w:jc w:val="both"/>
      </w:pPr>
    </w:p>
    <w:p w:rsidR="00725392" w:rsidRDefault="00F91D1E" w:rsidP="00F91D1E">
      <w:pPr>
        <w:spacing w:before="240"/>
        <w:ind w:left="66"/>
        <w:jc w:val="both"/>
      </w:pPr>
      <w:r>
        <w:t xml:space="preserve">Příloha: </w:t>
      </w:r>
    </w:p>
    <w:p w:rsidR="00F91D1E" w:rsidRPr="00F91D1E" w:rsidRDefault="00F91D1E" w:rsidP="00725392">
      <w:pPr>
        <w:pStyle w:val="Odstavecseseznamem"/>
        <w:numPr>
          <w:ilvl w:val="0"/>
          <w:numId w:val="8"/>
        </w:numPr>
        <w:spacing w:before="240"/>
        <w:jc w:val="both"/>
      </w:pPr>
      <w:r>
        <w:t xml:space="preserve">Dopis Ing. </w:t>
      </w:r>
      <w:proofErr w:type="spellStart"/>
      <w:r>
        <w:t>Hornochové</w:t>
      </w:r>
      <w:proofErr w:type="spellEnd"/>
      <w:r>
        <w:t xml:space="preserve"> z 11. června 2015 </w:t>
      </w:r>
      <w:r w:rsidRPr="00725392">
        <w:rPr>
          <w:i/>
        </w:rPr>
        <w:t>(</w:t>
      </w:r>
      <w:proofErr w:type="spellStart"/>
      <w:proofErr w:type="gramStart"/>
      <w:r w:rsidRPr="00F91D1E">
        <w:t>Č.j</w:t>
      </w:r>
      <w:proofErr w:type="spellEnd"/>
      <w:r w:rsidRPr="00F91D1E">
        <w:t>: 324/15</w:t>
      </w:r>
      <w:proofErr w:type="gramEnd"/>
      <w:r w:rsidRPr="00F91D1E">
        <w:t>)</w:t>
      </w:r>
      <w:r w:rsidR="00725392">
        <w:t xml:space="preserve"> a odpověď ze 14. července 2015</w:t>
      </w:r>
    </w:p>
    <w:p w:rsidR="00F91D1E" w:rsidRDefault="00F91D1E" w:rsidP="00C63F84">
      <w:pPr>
        <w:spacing w:before="240"/>
        <w:ind w:left="66"/>
        <w:jc w:val="both"/>
      </w:pPr>
    </w:p>
    <w:p w:rsidR="00C63F84" w:rsidRDefault="00C63F84" w:rsidP="00C63F84">
      <w:pPr>
        <w:spacing w:before="240"/>
        <w:ind w:left="66"/>
        <w:jc w:val="both"/>
      </w:pPr>
      <w:r>
        <w:t xml:space="preserve"> </w:t>
      </w:r>
    </w:p>
    <w:p w:rsidR="00F91D1E" w:rsidRDefault="00F91D1E" w:rsidP="00777B53">
      <w:pPr>
        <w:spacing w:after="120"/>
        <w:rPr>
          <w:bCs/>
          <w:color w:val="000000"/>
        </w:rPr>
      </w:pPr>
    </w:p>
    <w:p w:rsidR="00725392" w:rsidRDefault="00725392" w:rsidP="00F91D1E">
      <w:pPr>
        <w:pStyle w:val="Nadpis2"/>
        <w:shd w:val="clear" w:color="auto" w:fill="FFFFFF"/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91D1E" w:rsidRPr="003A7A62" w:rsidRDefault="00F91D1E" w:rsidP="00F91D1E">
      <w:pPr>
        <w:pStyle w:val="Nadpis2"/>
        <w:shd w:val="clear" w:color="auto" w:fill="FFFFFF"/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Vážený pan</w:t>
      </w:r>
    </w:p>
    <w:p w:rsidR="00F91D1E" w:rsidRDefault="00F91D1E" w:rsidP="00F91D1E">
      <w:pPr>
        <w:pStyle w:val="Nadpis2"/>
        <w:shd w:val="clear" w:color="auto" w:fill="FFFFFF"/>
        <w:spacing w:befor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Martin Janeček</w:t>
      </w:r>
    </w:p>
    <w:p w:rsidR="00F91D1E" w:rsidRDefault="00F91D1E" w:rsidP="00F91D1E">
      <w:r>
        <w:t>generální ředitel</w:t>
      </w:r>
    </w:p>
    <w:p w:rsidR="00F91D1E" w:rsidRPr="003A7A62" w:rsidRDefault="00F91D1E" w:rsidP="00F91D1E">
      <w:pPr>
        <w:pStyle w:val="Nadpis3"/>
        <w:shd w:val="clear" w:color="auto" w:fill="FFFFFF"/>
        <w:spacing w:before="0"/>
        <w:rPr>
          <w:rFonts w:ascii="Times New Roman" w:hAnsi="Times New Roman" w:cs="Times New Roman"/>
          <w:bCs/>
          <w:color w:val="auto"/>
        </w:rPr>
      </w:pPr>
      <w:r w:rsidRPr="003A7A62">
        <w:rPr>
          <w:rFonts w:ascii="Times New Roman" w:hAnsi="Times New Roman" w:cs="Times New Roman"/>
          <w:bCs/>
          <w:color w:val="auto"/>
        </w:rPr>
        <w:t>Generální finanční ředitelství</w:t>
      </w:r>
    </w:p>
    <w:p w:rsidR="00F91D1E" w:rsidRPr="000969BF" w:rsidRDefault="00F91D1E" w:rsidP="00F91D1E">
      <w:pPr>
        <w:pStyle w:val="Nadpis3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3A7A62">
        <w:rPr>
          <w:rFonts w:ascii="Times New Roman" w:hAnsi="Times New Roman" w:cs="Times New Roman"/>
          <w:color w:val="auto"/>
          <w:shd w:val="clear" w:color="auto" w:fill="FFFFFF"/>
        </w:rPr>
        <w:t>Lazarská 15/7</w:t>
      </w:r>
      <w:r w:rsidRPr="003A7A62">
        <w:rPr>
          <w:rFonts w:ascii="Times New Roman" w:hAnsi="Times New Roman" w:cs="Times New Roman"/>
          <w:color w:val="auto"/>
        </w:rPr>
        <w:br/>
      </w:r>
      <w:r w:rsidRPr="003A7A62">
        <w:rPr>
          <w:rFonts w:ascii="Times New Roman" w:hAnsi="Times New Roman" w:cs="Times New Roman"/>
          <w:color w:val="auto"/>
          <w:shd w:val="clear" w:color="auto" w:fill="FFFFFF"/>
        </w:rPr>
        <w:t>117 22 PRAHA 1 </w:t>
      </w:r>
    </w:p>
    <w:p w:rsidR="00F91D1E" w:rsidRPr="00387FA9" w:rsidRDefault="00F91D1E" w:rsidP="00F91D1E">
      <w:pPr>
        <w:spacing w:after="120"/>
        <w:rPr>
          <w:color w:val="000000"/>
          <w:szCs w:val="24"/>
        </w:rPr>
      </w:pPr>
    </w:p>
    <w:p w:rsidR="00F91D1E" w:rsidRPr="00777B53" w:rsidRDefault="00F91D1E" w:rsidP="00777B53">
      <w:pPr>
        <w:spacing w:after="120"/>
        <w:rPr>
          <w:bCs/>
          <w:color w:val="000000"/>
        </w:rPr>
      </w:pPr>
      <w:bookmarkStart w:id="0" w:name="_GoBack"/>
      <w:bookmarkEnd w:id="0"/>
    </w:p>
    <w:sectPr w:rsidR="00F91D1E" w:rsidRPr="00777B53" w:rsidSect="00777B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A7" w:rsidRDefault="00367FA7">
      <w:r>
        <w:separator/>
      </w:r>
    </w:p>
  </w:endnote>
  <w:endnote w:type="continuationSeparator" w:id="0">
    <w:p w:rsidR="00367FA7" w:rsidRDefault="003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306009"/>
      <w:docPartObj>
        <w:docPartGallery w:val="Page Numbers (Bottom of Page)"/>
        <w:docPartUnique/>
      </w:docPartObj>
    </w:sdtPr>
    <w:sdtEndPr/>
    <w:sdtContent>
      <w:p w:rsidR="00777B53" w:rsidRDefault="00777B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A9">
          <w:rPr>
            <w:noProof/>
          </w:rPr>
          <w:t>8</w:t>
        </w:r>
        <w:r>
          <w:fldChar w:fldCharType="end"/>
        </w:r>
      </w:p>
    </w:sdtContent>
  </w:sdt>
  <w:p w:rsidR="009117B2" w:rsidRDefault="009117B2">
    <w:pPr>
      <w:pStyle w:val="Zpat"/>
      <w:rPr>
        <w:sz w:val="16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3" w:rsidRPr="00195F24" w:rsidRDefault="00777B53" w:rsidP="00777B53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:rsidR="00777B53" w:rsidRDefault="00777B53" w:rsidP="00777B53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:rsidR="00777B53" w:rsidRDefault="00777B53" w:rsidP="00777B53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:rsidR="00777B53" w:rsidRDefault="00777B53" w:rsidP="00777B53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:rsidR="00777B53" w:rsidRDefault="00777B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A7" w:rsidRDefault="00367FA7">
      <w:r>
        <w:separator/>
      </w:r>
    </w:p>
  </w:footnote>
  <w:footnote w:type="continuationSeparator" w:id="0">
    <w:p w:rsidR="00367FA7" w:rsidRDefault="0036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 w:rsidP="002F4EE3">
    <w:pPr>
      <w:pStyle w:val="Zhlav"/>
    </w:pPr>
    <w:r>
      <w:tab/>
    </w:r>
    <w:r>
      <w:tab/>
    </w:r>
  </w:p>
  <w:p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3" w:rsidRDefault="00777B53" w:rsidP="00777B53">
    <w:pPr>
      <w:pStyle w:val="Zhlav"/>
      <w:jc w:val="right"/>
    </w:pPr>
    <w:r>
      <w:rPr>
        <w:noProof/>
      </w:rPr>
      <w:drawing>
        <wp:inline distT="0" distB="0" distL="0" distR="0" wp14:anchorId="44D0FAE1" wp14:editId="203571E4">
          <wp:extent cx="1019175" cy="666750"/>
          <wp:effectExtent l="1905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7B53" w:rsidRDefault="00777B53" w:rsidP="00777B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D26"/>
    <w:multiLevelType w:val="hybridMultilevel"/>
    <w:tmpl w:val="EE327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0C3E"/>
    <w:multiLevelType w:val="hybridMultilevel"/>
    <w:tmpl w:val="57A23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9716C"/>
    <w:multiLevelType w:val="hybridMultilevel"/>
    <w:tmpl w:val="F55462CA"/>
    <w:lvl w:ilvl="0" w:tplc="6172AA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E63218C"/>
    <w:multiLevelType w:val="hybridMultilevel"/>
    <w:tmpl w:val="6DE67F4E"/>
    <w:lvl w:ilvl="0" w:tplc="30E8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951D6E"/>
    <w:multiLevelType w:val="hybridMultilevel"/>
    <w:tmpl w:val="71CC0F8A"/>
    <w:lvl w:ilvl="0" w:tplc="9ACE6E3C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62"/>
    <w:rsid w:val="0001378F"/>
    <w:rsid w:val="000266B9"/>
    <w:rsid w:val="00040D64"/>
    <w:rsid w:val="00046702"/>
    <w:rsid w:val="00047640"/>
    <w:rsid w:val="000535B1"/>
    <w:rsid w:val="00072A6B"/>
    <w:rsid w:val="00087058"/>
    <w:rsid w:val="00090745"/>
    <w:rsid w:val="00095BB6"/>
    <w:rsid w:val="000B2624"/>
    <w:rsid w:val="000C6139"/>
    <w:rsid w:val="000C627D"/>
    <w:rsid w:val="000C67C4"/>
    <w:rsid w:val="000C7763"/>
    <w:rsid w:val="000D7319"/>
    <w:rsid w:val="000E0954"/>
    <w:rsid w:val="0010649A"/>
    <w:rsid w:val="001202CD"/>
    <w:rsid w:val="00122F96"/>
    <w:rsid w:val="0013648C"/>
    <w:rsid w:val="00145F49"/>
    <w:rsid w:val="001544C9"/>
    <w:rsid w:val="00157537"/>
    <w:rsid w:val="0016444F"/>
    <w:rsid w:val="001927E1"/>
    <w:rsid w:val="00195F24"/>
    <w:rsid w:val="001A76E8"/>
    <w:rsid w:val="001B0A09"/>
    <w:rsid w:val="002224B5"/>
    <w:rsid w:val="0022384C"/>
    <w:rsid w:val="00227E6F"/>
    <w:rsid w:val="0023244A"/>
    <w:rsid w:val="00234B2C"/>
    <w:rsid w:val="00254F88"/>
    <w:rsid w:val="002560FE"/>
    <w:rsid w:val="002572CC"/>
    <w:rsid w:val="00260A76"/>
    <w:rsid w:val="00261645"/>
    <w:rsid w:val="00263194"/>
    <w:rsid w:val="00286372"/>
    <w:rsid w:val="002A6881"/>
    <w:rsid w:val="002C4723"/>
    <w:rsid w:val="002E11AC"/>
    <w:rsid w:val="002F4EE3"/>
    <w:rsid w:val="00302D9B"/>
    <w:rsid w:val="0032418A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D9E"/>
    <w:rsid w:val="003A29AC"/>
    <w:rsid w:val="003C4715"/>
    <w:rsid w:val="003E289F"/>
    <w:rsid w:val="00410549"/>
    <w:rsid w:val="00422D77"/>
    <w:rsid w:val="00431953"/>
    <w:rsid w:val="0043382F"/>
    <w:rsid w:val="00433937"/>
    <w:rsid w:val="00452901"/>
    <w:rsid w:val="004609A2"/>
    <w:rsid w:val="0046629C"/>
    <w:rsid w:val="00472B57"/>
    <w:rsid w:val="00476C34"/>
    <w:rsid w:val="004837F4"/>
    <w:rsid w:val="0049002A"/>
    <w:rsid w:val="0049632B"/>
    <w:rsid w:val="004A78AA"/>
    <w:rsid w:val="004B325E"/>
    <w:rsid w:val="004B44D5"/>
    <w:rsid w:val="004B70E6"/>
    <w:rsid w:val="004C139D"/>
    <w:rsid w:val="004C3597"/>
    <w:rsid w:val="004E2773"/>
    <w:rsid w:val="00506CE2"/>
    <w:rsid w:val="005117F7"/>
    <w:rsid w:val="00511C7C"/>
    <w:rsid w:val="005141AA"/>
    <w:rsid w:val="005242C8"/>
    <w:rsid w:val="00535BBB"/>
    <w:rsid w:val="005446D2"/>
    <w:rsid w:val="00552046"/>
    <w:rsid w:val="00554EF5"/>
    <w:rsid w:val="00564A8E"/>
    <w:rsid w:val="00576274"/>
    <w:rsid w:val="00590BA3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D54FB"/>
    <w:rsid w:val="005E1F1D"/>
    <w:rsid w:val="005E2276"/>
    <w:rsid w:val="005F30A0"/>
    <w:rsid w:val="0060593F"/>
    <w:rsid w:val="0060625E"/>
    <w:rsid w:val="006137D9"/>
    <w:rsid w:val="00614E7F"/>
    <w:rsid w:val="00624E6A"/>
    <w:rsid w:val="00633898"/>
    <w:rsid w:val="00642874"/>
    <w:rsid w:val="00643CC4"/>
    <w:rsid w:val="00667DDC"/>
    <w:rsid w:val="0067025F"/>
    <w:rsid w:val="00674EFC"/>
    <w:rsid w:val="00675B6F"/>
    <w:rsid w:val="00694E56"/>
    <w:rsid w:val="006B38E2"/>
    <w:rsid w:val="006C4C59"/>
    <w:rsid w:val="006E0693"/>
    <w:rsid w:val="006E1C7A"/>
    <w:rsid w:val="006E68B1"/>
    <w:rsid w:val="006E6AC3"/>
    <w:rsid w:val="00704712"/>
    <w:rsid w:val="00704EA9"/>
    <w:rsid w:val="007161DD"/>
    <w:rsid w:val="00725392"/>
    <w:rsid w:val="00761A30"/>
    <w:rsid w:val="0077006B"/>
    <w:rsid w:val="00777B53"/>
    <w:rsid w:val="007B0C29"/>
    <w:rsid w:val="007B15A0"/>
    <w:rsid w:val="007B33EC"/>
    <w:rsid w:val="007C22CE"/>
    <w:rsid w:val="007D6BE9"/>
    <w:rsid w:val="007E2B15"/>
    <w:rsid w:val="007E4450"/>
    <w:rsid w:val="007F611F"/>
    <w:rsid w:val="008031E4"/>
    <w:rsid w:val="00813E69"/>
    <w:rsid w:val="008257DD"/>
    <w:rsid w:val="00887F7D"/>
    <w:rsid w:val="008A26CA"/>
    <w:rsid w:val="008A4C35"/>
    <w:rsid w:val="008A6294"/>
    <w:rsid w:val="008B4F20"/>
    <w:rsid w:val="008C7023"/>
    <w:rsid w:val="008D1A73"/>
    <w:rsid w:val="008D4C5E"/>
    <w:rsid w:val="008D7317"/>
    <w:rsid w:val="009117B2"/>
    <w:rsid w:val="00953167"/>
    <w:rsid w:val="00953673"/>
    <w:rsid w:val="00974C6D"/>
    <w:rsid w:val="009771D6"/>
    <w:rsid w:val="009C0775"/>
    <w:rsid w:val="00A064EF"/>
    <w:rsid w:val="00A11F56"/>
    <w:rsid w:val="00A1559A"/>
    <w:rsid w:val="00A33CB6"/>
    <w:rsid w:val="00A63AC2"/>
    <w:rsid w:val="00A87F40"/>
    <w:rsid w:val="00AB5C31"/>
    <w:rsid w:val="00AC278D"/>
    <w:rsid w:val="00AD1705"/>
    <w:rsid w:val="00AF487E"/>
    <w:rsid w:val="00B123D3"/>
    <w:rsid w:val="00B16C99"/>
    <w:rsid w:val="00B26BE6"/>
    <w:rsid w:val="00B3399A"/>
    <w:rsid w:val="00B436F2"/>
    <w:rsid w:val="00B4779E"/>
    <w:rsid w:val="00B64A00"/>
    <w:rsid w:val="00B83B2A"/>
    <w:rsid w:val="00B9020D"/>
    <w:rsid w:val="00BA13BB"/>
    <w:rsid w:val="00BA778E"/>
    <w:rsid w:val="00BB0661"/>
    <w:rsid w:val="00BB51B3"/>
    <w:rsid w:val="00BB5B6B"/>
    <w:rsid w:val="00BC29D2"/>
    <w:rsid w:val="00C01924"/>
    <w:rsid w:val="00C019AA"/>
    <w:rsid w:val="00C3474C"/>
    <w:rsid w:val="00C63ABC"/>
    <w:rsid w:val="00C63F84"/>
    <w:rsid w:val="00C765EC"/>
    <w:rsid w:val="00C8239A"/>
    <w:rsid w:val="00C85F92"/>
    <w:rsid w:val="00CA291A"/>
    <w:rsid w:val="00CC1B29"/>
    <w:rsid w:val="00CC215A"/>
    <w:rsid w:val="00CE0120"/>
    <w:rsid w:val="00CE4F18"/>
    <w:rsid w:val="00CE6CE7"/>
    <w:rsid w:val="00D1125B"/>
    <w:rsid w:val="00D12537"/>
    <w:rsid w:val="00D15A10"/>
    <w:rsid w:val="00D40694"/>
    <w:rsid w:val="00D6085F"/>
    <w:rsid w:val="00D73F0F"/>
    <w:rsid w:val="00D75ED2"/>
    <w:rsid w:val="00D83D11"/>
    <w:rsid w:val="00DA3115"/>
    <w:rsid w:val="00DC4C5F"/>
    <w:rsid w:val="00E07B58"/>
    <w:rsid w:val="00E206C2"/>
    <w:rsid w:val="00E33645"/>
    <w:rsid w:val="00E35AC4"/>
    <w:rsid w:val="00E35BA4"/>
    <w:rsid w:val="00E52BAD"/>
    <w:rsid w:val="00E71037"/>
    <w:rsid w:val="00E8264E"/>
    <w:rsid w:val="00E903FE"/>
    <w:rsid w:val="00EA521D"/>
    <w:rsid w:val="00EC3B04"/>
    <w:rsid w:val="00EC5F09"/>
    <w:rsid w:val="00ED54E3"/>
    <w:rsid w:val="00ED5CE2"/>
    <w:rsid w:val="00F26170"/>
    <w:rsid w:val="00F27275"/>
    <w:rsid w:val="00F369EA"/>
    <w:rsid w:val="00F463DF"/>
    <w:rsid w:val="00F520F8"/>
    <w:rsid w:val="00F56123"/>
    <w:rsid w:val="00F601EC"/>
    <w:rsid w:val="00F636D9"/>
    <w:rsid w:val="00F63735"/>
    <w:rsid w:val="00F6778B"/>
    <w:rsid w:val="00F90733"/>
    <w:rsid w:val="00F91D1E"/>
    <w:rsid w:val="00FC4444"/>
    <w:rsid w:val="00FD4F8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91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1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D7319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0D7319"/>
  </w:style>
  <w:style w:type="character" w:customStyle="1" w:styleId="ZpatChar">
    <w:name w:val="Zápatí Char"/>
    <w:basedOn w:val="Standardnpsmoodstavce"/>
    <w:link w:val="Zpat"/>
    <w:uiPriority w:val="99"/>
    <w:rsid w:val="00777B5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91D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D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91D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2643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18204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4</cp:revision>
  <cp:lastPrinted>2016-10-26T08:38:00Z</cp:lastPrinted>
  <dcterms:created xsi:type="dcterms:W3CDTF">2016-10-26T08:17:00Z</dcterms:created>
  <dcterms:modified xsi:type="dcterms:W3CDTF">2016-10-26T10:12:00Z</dcterms:modified>
</cp:coreProperties>
</file>