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Default="00F6203E" w:rsidP="005F1A9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7249F7" w:rsidRDefault="001548C7" w:rsidP="000C4C36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Z</w:t>
      </w:r>
      <w:r w:rsidR="000C4C36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ákon o rozpočtové odpovědnosti zasahuje do ústavních práv měst a obcí</w:t>
      </w:r>
    </w:p>
    <w:p w:rsidR="003D3510" w:rsidRDefault="003D3510" w:rsidP="000C4C36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256744" w:rsidRPr="000C4C36" w:rsidRDefault="00EE42B3" w:rsidP="000C4C36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B90124">
        <w:rPr>
          <w:rFonts w:ascii="Arial" w:hAnsi="Arial" w:cs="Arial"/>
          <w:bCs/>
          <w:color w:val="000000" w:themeColor="text1"/>
          <w:sz w:val="20"/>
          <w:szCs w:val="20"/>
        </w:rPr>
        <w:t>18</w:t>
      </w:r>
      <w:r w:rsidR="00E41208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1548C7">
        <w:rPr>
          <w:rFonts w:ascii="Arial" w:hAnsi="Arial" w:cs="Arial"/>
          <w:bCs/>
          <w:color w:val="000000" w:themeColor="text1"/>
          <w:sz w:val="20"/>
          <w:szCs w:val="20"/>
        </w:rPr>
        <w:t>října</w:t>
      </w: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 2016  - </w:t>
      </w:r>
      <w:r w:rsidR="00256744" w:rsidRPr="000C4C36">
        <w:rPr>
          <w:rFonts w:ascii="Arial" w:hAnsi="Arial" w:cs="Arial"/>
          <w:b/>
          <w:sz w:val="20"/>
          <w:szCs w:val="20"/>
        </w:rPr>
        <w:t xml:space="preserve">O pět procent sdílených daní by měla přijít každá obec, jejíž zadluženost by byla vyšší než 60 % průměrného příjmu za poslední čtyři roky. </w:t>
      </w:r>
      <w:r w:rsidR="005D365A" w:rsidRPr="000C4C36">
        <w:rPr>
          <w:rFonts w:ascii="Arial" w:hAnsi="Arial" w:cs="Arial"/>
          <w:b/>
          <w:sz w:val="20"/>
          <w:szCs w:val="20"/>
        </w:rPr>
        <w:t>Počít</w:t>
      </w:r>
      <w:r w:rsidR="005D365A">
        <w:rPr>
          <w:rFonts w:ascii="Arial" w:hAnsi="Arial" w:cs="Arial"/>
          <w:b/>
          <w:sz w:val="20"/>
          <w:szCs w:val="20"/>
        </w:rPr>
        <w:t>ají</w:t>
      </w:r>
      <w:r w:rsidR="00363F01">
        <w:rPr>
          <w:rFonts w:ascii="Arial" w:hAnsi="Arial" w:cs="Arial"/>
          <w:b/>
          <w:sz w:val="20"/>
          <w:szCs w:val="20"/>
        </w:rPr>
        <w:t xml:space="preserve"> </w:t>
      </w:r>
      <w:r w:rsidR="00256744" w:rsidRPr="000C4C36">
        <w:rPr>
          <w:rFonts w:ascii="Arial" w:hAnsi="Arial" w:cs="Arial"/>
          <w:b/>
          <w:sz w:val="20"/>
          <w:szCs w:val="20"/>
        </w:rPr>
        <w:t xml:space="preserve">s tím </w:t>
      </w:r>
      <w:r w:rsidR="005D365A">
        <w:rPr>
          <w:rFonts w:ascii="Arial" w:hAnsi="Arial" w:cs="Arial"/>
          <w:b/>
          <w:sz w:val="20"/>
          <w:szCs w:val="20"/>
        </w:rPr>
        <w:t>ústavní a běžný</w:t>
      </w:r>
      <w:r w:rsidR="00363F01">
        <w:rPr>
          <w:rFonts w:ascii="Arial" w:hAnsi="Arial" w:cs="Arial"/>
          <w:b/>
          <w:sz w:val="20"/>
          <w:szCs w:val="20"/>
        </w:rPr>
        <w:t xml:space="preserve"> </w:t>
      </w:r>
      <w:r w:rsidR="00256744" w:rsidRPr="000C4C36">
        <w:rPr>
          <w:rFonts w:ascii="Arial" w:hAnsi="Arial" w:cs="Arial"/>
          <w:b/>
          <w:sz w:val="20"/>
          <w:szCs w:val="20"/>
        </w:rPr>
        <w:t xml:space="preserve">zákon o rozpočtové odpovědnosti (finanční ústava), </w:t>
      </w:r>
      <w:r w:rsidR="005D365A" w:rsidRPr="000C4C36">
        <w:rPr>
          <w:rFonts w:ascii="Arial" w:hAnsi="Arial" w:cs="Arial"/>
          <w:b/>
          <w:sz w:val="20"/>
          <w:szCs w:val="20"/>
        </w:rPr>
        <w:t>kter</w:t>
      </w:r>
      <w:r w:rsidR="005D365A">
        <w:rPr>
          <w:rFonts w:ascii="Arial" w:hAnsi="Arial" w:cs="Arial"/>
          <w:b/>
          <w:sz w:val="20"/>
          <w:szCs w:val="20"/>
        </w:rPr>
        <w:t>é</w:t>
      </w:r>
      <w:r w:rsidR="00363F01">
        <w:rPr>
          <w:rFonts w:ascii="Arial" w:hAnsi="Arial" w:cs="Arial"/>
          <w:b/>
          <w:sz w:val="20"/>
          <w:szCs w:val="20"/>
        </w:rPr>
        <w:t xml:space="preserve"> </w:t>
      </w:r>
      <w:r w:rsidR="00B90124">
        <w:rPr>
          <w:rFonts w:ascii="Arial" w:hAnsi="Arial" w:cs="Arial"/>
          <w:b/>
          <w:sz w:val="20"/>
          <w:szCs w:val="20"/>
        </w:rPr>
        <w:t>by zítra ve třetím čtení měla projednat Poslanecká sněmovna</w:t>
      </w:r>
      <w:r w:rsidR="00256744" w:rsidRPr="000C4C36">
        <w:rPr>
          <w:rFonts w:ascii="Arial" w:hAnsi="Arial" w:cs="Arial"/>
          <w:b/>
          <w:sz w:val="20"/>
          <w:szCs w:val="20"/>
        </w:rPr>
        <w:t xml:space="preserve">. </w:t>
      </w:r>
      <w:r w:rsidR="005D365A">
        <w:rPr>
          <w:rFonts w:ascii="Arial" w:hAnsi="Arial" w:cs="Arial"/>
          <w:b/>
          <w:sz w:val="20"/>
          <w:szCs w:val="20"/>
        </w:rPr>
        <w:t xml:space="preserve">Vládní koalice pravděpodobně nenajde kvalifikovanou většinu pro </w:t>
      </w:r>
      <w:r w:rsidR="00363F01">
        <w:rPr>
          <w:rFonts w:ascii="Arial" w:hAnsi="Arial" w:cs="Arial"/>
          <w:b/>
          <w:sz w:val="20"/>
          <w:szCs w:val="20"/>
        </w:rPr>
        <w:t>ústavní zákon. Bez něj však je</w:t>
      </w:r>
      <w:r w:rsidR="005D365A">
        <w:rPr>
          <w:rFonts w:ascii="Arial" w:hAnsi="Arial" w:cs="Arial"/>
          <w:b/>
          <w:sz w:val="20"/>
          <w:szCs w:val="20"/>
        </w:rPr>
        <w:t xml:space="preserve"> doprovodný zákon</w:t>
      </w:r>
      <w:r w:rsidR="00256744" w:rsidRPr="000C4C36">
        <w:rPr>
          <w:rFonts w:ascii="Arial" w:hAnsi="Arial" w:cs="Arial"/>
          <w:b/>
          <w:sz w:val="20"/>
          <w:szCs w:val="20"/>
        </w:rPr>
        <w:t xml:space="preserve"> protiústavní, omezuje totiž právo obcí volně nakládat s</w:t>
      </w:r>
      <w:r w:rsidR="00363F01">
        <w:rPr>
          <w:rFonts w:ascii="Arial" w:hAnsi="Arial" w:cs="Arial"/>
          <w:b/>
          <w:sz w:val="20"/>
          <w:szCs w:val="20"/>
        </w:rPr>
        <w:t xml:space="preserve"> </w:t>
      </w:r>
      <w:r w:rsidR="00256744" w:rsidRPr="000C4C36">
        <w:rPr>
          <w:rFonts w:ascii="Arial" w:hAnsi="Arial" w:cs="Arial"/>
          <w:b/>
          <w:sz w:val="20"/>
          <w:szCs w:val="20"/>
        </w:rPr>
        <w:t xml:space="preserve">majetkem. </w:t>
      </w:r>
      <w:r w:rsidR="000C4C36">
        <w:rPr>
          <w:rFonts w:ascii="Arial" w:hAnsi="Arial" w:cs="Arial"/>
          <w:b/>
          <w:sz w:val="20"/>
          <w:szCs w:val="20"/>
        </w:rPr>
        <w:t xml:space="preserve">Návrh </w:t>
      </w:r>
      <w:r w:rsidR="005D365A">
        <w:rPr>
          <w:rFonts w:ascii="Arial" w:hAnsi="Arial" w:cs="Arial"/>
          <w:b/>
          <w:sz w:val="20"/>
          <w:szCs w:val="20"/>
        </w:rPr>
        <w:t xml:space="preserve">jako takový </w:t>
      </w:r>
      <w:r w:rsidR="00256744" w:rsidRPr="000C4C36">
        <w:rPr>
          <w:rFonts w:ascii="Arial" w:hAnsi="Arial" w:cs="Arial"/>
          <w:b/>
          <w:sz w:val="20"/>
          <w:szCs w:val="20"/>
        </w:rPr>
        <w:t>chce samosprávy „trestat“ za špatné hospodaření státu, aniž by bral v potaz, že právě obce v</w:t>
      </w:r>
      <w:r w:rsidR="000C4C36">
        <w:rPr>
          <w:rFonts w:ascii="Arial" w:hAnsi="Arial" w:cs="Arial"/>
          <w:b/>
          <w:sz w:val="20"/>
          <w:szCs w:val="20"/>
        </w:rPr>
        <w:t xml:space="preserve"> celém</w:t>
      </w:r>
      <w:r w:rsidR="00256744" w:rsidRPr="000C4C36">
        <w:rPr>
          <w:rFonts w:ascii="Arial" w:hAnsi="Arial" w:cs="Arial"/>
          <w:b/>
          <w:sz w:val="20"/>
          <w:szCs w:val="20"/>
        </w:rPr>
        <w:t xml:space="preserve"> veřejném sektoru nejl</w:t>
      </w:r>
      <w:r w:rsidR="000C4C36">
        <w:rPr>
          <w:rFonts w:ascii="Arial" w:hAnsi="Arial" w:cs="Arial"/>
          <w:b/>
          <w:sz w:val="20"/>
          <w:szCs w:val="20"/>
        </w:rPr>
        <w:t>épe</w:t>
      </w:r>
      <w:r w:rsidR="00363F01" w:rsidRPr="00363F01">
        <w:rPr>
          <w:rFonts w:ascii="Arial" w:hAnsi="Arial" w:cs="Arial"/>
          <w:b/>
          <w:sz w:val="20"/>
          <w:szCs w:val="20"/>
        </w:rPr>
        <w:t xml:space="preserve"> </w:t>
      </w:r>
      <w:r w:rsidR="00363F01">
        <w:rPr>
          <w:rFonts w:ascii="Arial" w:hAnsi="Arial" w:cs="Arial"/>
          <w:b/>
          <w:sz w:val="20"/>
          <w:szCs w:val="20"/>
        </w:rPr>
        <w:t>hospodaří</w:t>
      </w:r>
      <w:r w:rsidR="00256744" w:rsidRPr="000C4C36">
        <w:rPr>
          <w:rFonts w:ascii="Arial" w:hAnsi="Arial" w:cs="Arial"/>
          <w:b/>
          <w:sz w:val="20"/>
          <w:szCs w:val="20"/>
        </w:rPr>
        <w:t xml:space="preserve">. </w:t>
      </w:r>
    </w:p>
    <w:p w:rsidR="000C4C36" w:rsidRDefault="000C4C36" w:rsidP="000C4C36">
      <w:pPr>
        <w:spacing w:after="0" w:line="280" w:lineRule="atLeast"/>
        <w:jc w:val="both"/>
        <w:rPr>
          <w:rFonts w:ascii="Arial" w:hAnsi="Arial" w:cs="Arial"/>
          <w:b/>
          <w:i/>
          <w:sz w:val="20"/>
          <w:szCs w:val="20"/>
        </w:rPr>
      </w:pPr>
    </w:p>
    <w:p w:rsidR="00256744" w:rsidRPr="000C4C36" w:rsidRDefault="00256744" w:rsidP="000C4C36">
      <w:pPr>
        <w:spacing w:after="0" w:line="28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63F01">
        <w:rPr>
          <w:rFonts w:ascii="Arial" w:hAnsi="Arial" w:cs="Arial"/>
          <w:i/>
          <w:sz w:val="20"/>
          <w:szCs w:val="20"/>
        </w:rPr>
        <w:t>„</w:t>
      </w:r>
      <w:r w:rsidRPr="000C4C36">
        <w:rPr>
          <w:rFonts w:ascii="Arial" w:hAnsi="Arial" w:cs="Arial"/>
          <w:i/>
          <w:sz w:val="20"/>
          <w:szCs w:val="20"/>
        </w:rPr>
        <w:t>Přijetí zákona o rozpočtové odpovědnosti významně zasahuje do práv</w:t>
      </w:r>
      <w:r w:rsidR="005D365A">
        <w:rPr>
          <w:rFonts w:ascii="Arial" w:hAnsi="Arial" w:cs="Arial"/>
          <w:i/>
          <w:sz w:val="20"/>
          <w:szCs w:val="20"/>
        </w:rPr>
        <w:t>a samospráv hospodařit s vlastním majetkem</w:t>
      </w:r>
      <w:r w:rsidRPr="000C4C36">
        <w:rPr>
          <w:rFonts w:ascii="Arial" w:hAnsi="Arial" w:cs="Arial"/>
          <w:i/>
          <w:sz w:val="20"/>
          <w:szCs w:val="20"/>
        </w:rPr>
        <w:t xml:space="preserve">. </w:t>
      </w:r>
      <w:r w:rsidR="00B11739">
        <w:rPr>
          <w:rFonts w:ascii="Arial" w:hAnsi="Arial" w:cs="Arial"/>
          <w:i/>
          <w:sz w:val="20"/>
          <w:szCs w:val="20"/>
        </w:rPr>
        <w:t>O</w:t>
      </w:r>
      <w:r w:rsidRPr="000C4C36">
        <w:rPr>
          <w:rFonts w:ascii="Arial" w:hAnsi="Arial" w:cs="Arial"/>
          <w:i/>
          <w:sz w:val="20"/>
          <w:szCs w:val="20"/>
        </w:rPr>
        <w:t>bcím</w:t>
      </w:r>
      <w:r w:rsidR="00B11739">
        <w:rPr>
          <w:rFonts w:ascii="Arial" w:hAnsi="Arial" w:cs="Arial"/>
          <w:i/>
          <w:sz w:val="20"/>
          <w:szCs w:val="20"/>
        </w:rPr>
        <w:t xml:space="preserve"> by to znemožnilo</w:t>
      </w:r>
      <w:r w:rsidRPr="000C4C36">
        <w:rPr>
          <w:rFonts w:ascii="Arial" w:hAnsi="Arial" w:cs="Arial"/>
          <w:i/>
          <w:sz w:val="20"/>
          <w:szCs w:val="20"/>
        </w:rPr>
        <w:t xml:space="preserve"> nakládat s podílem z daní, který je </w:t>
      </w:r>
      <w:r w:rsidRPr="002E424E">
        <w:rPr>
          <w:rFonts w:ascii="Arial" w:eastAsia="Times New Roman" w:hAnsi="Arial" w:cs="Arial"/>
          <w:i/>
          <w:sz w:val="20"/>
          <w:szCs w:val="20"/>
        </w:rPr>
        <w:t>výlučným a nezcizitelným majetkem územního samosprávného celku</w:t>
      </w:r>
      <w:r w:rsidRPr="000C4C36">
        <w:rPr>
          <w:rFonts w:ascii="Arial" w:eastAsia="Times New Roman" w:hAnsi="Arial" w:cs="Arial"/>
          <w:i/>
          <w:sz w:val="20"/>
          <w:szCs w:val="20"/>
        </w:rPr>
        <w:t>,</w:t>
      </w:r>
      <w:r w:rsidRPr="000C4C36">
        <w:rPr>
          <w:rFonts w:ascii="Arial" w:hAnsi="Arial" w:cs="Arial"/>
          <w:i/>
          <w:sz w:val="20"/>
          <w:szCs w:val="20"/>
        </w:rPr>
        <w:t xml:space="preserve">“ </w:t>
      </w:r>
      <w:r w:rsidRPr="000C4C36">
        <w:rPr>
          <w:rFonts w:ascii="Arial" w:hAnsi="Arial" w:cs="Arial"/>
          <w:sz w:val="20"/>
          <w:szCs w:val="20"/>
        </w:rPr>
        <w:t xml:space="preserve">říká </w:t>
      </w:r>
      <w:r w:rsidRPr="000C4C36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0C4C36">
        <w:rPr>
          <w:rFonts w:ascii="Arial" w:hAnsi="Arial" w:cs="Arial"/>
          <w:sz w:val="20"/>
          <w:szCs w:val="20"/>
        </w:rPr>
        <w:t xml:space="preserve"> a dodává: </w:t>
      </w:r>
      <w:r w:rsidRPr="000C4C36">
        <w:rPr>
          <w:rFonts w:ascii="Arial" w:hAnsi="Arial" w:cs="Arial"/>
          <w:i/>
          <w:sz w:val="20"/>
          <w:szCs w:val="20"/>
        </w:rPr>
        <w:t xml:space="preserve">„Návrh je i v rozporu s Evropskou chartou místních samospráv, kde v článku 9, odst. 1 stojí, že: </w:t>
      </w:r>
      <w:r w:rsidR="005D365A" w:rsidRPr="005D365A">
        <w:rPr>
          <w:rFonts w:ascii="Arial" w:hAnsi="Arial" w:cs="Arial"/>
          <w:i/>
          <w:sz w:val="20"/>
          <w:szCs w:val="20"/>
        </w:rPr>
        <w:t>Místní společenství mají v rámci hospodářské politiky státu právo na přiměřené vlastní finanční zdroje, se kterými mohou v rámci svých pravomocí volně nakládat.</w:t>
      </w:r>
      <w:r w:rsidRPr="000C4C36">
        <w:rPr>
          <w:rFonts w:ascii="Arial" w:hAnsi="Arial" w:cs="Arial"/>
          <w:i/>
          <w:color w:val="000000"/>
          <w:sz w:val="20"/>
          <w:szCs w:val="20"/>
        </w:rPr>
        <w:t>“</w:t>
      </w:r>
    </w:p>
    <w:p w:rsidR="000C4C36" w:rsidRDefault="000C4C36" w:rsidP="000C4C36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C4C36" w:rsidRDefault="00256744" w:rsidP="000C4C36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C4C36">
        <w:rPr>
          <w:rFonts w:ascii="Arial" w:hAnsi="Arial" w:cs="Arial"/>
          <w:color w:val="000000"/>
          <w:sz w:val="20"/>
          <w:szCs w:val="20"/>
        </w:rPr>
        <w:t xml:space="preserve">Za </w:t>
      </w:r>
      <w:r w:rsidR="005D365A">
        <w:rPr>
          <w:rFonts w:ascii="Arial" w:hAnsi="Arial" w:cs="Arial"/>
          <w:color w:val="000000"/>
          <w:sz w:val="20"/>
          <w:szCs w:val="20"/>
        </w:rPr>
        <w:t>protiústavní lze</w:t>
      </w:r>
      <w:r w:rsidR="00363F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C4C36">
        <w:rPr>
          <w:rFonts w:ascii="Arial" w:hAnsi="Arial" w:cs="Arial"/>
          <w:color w:val="000000"/>
          <w:sz w:val="20"/>
          <w:szCs w:val="20"/>
        </w:rPr>
        <w:t xml:space="preserve">považovat </w:t>
      </w:r>
      <w:r w:rsidR="00732B90">
        <w:rPr>
          <w:rFonts w:ascii="Arial" w:hAnsi="Arial" w:cs="Arial"/>
          <w:color w:val="000000"/>
          <w:sz w:val="20"/>
          <w:szCs w:val="20"/>
        </w:rPr>
        <w:t>to, že poslanci chtějí restrikce vůči obcím zavést běžným, nikoliv vládou předloženým úst</w:t>
      </w:r>
      <w:bookmarkStart w:id="0" w:name="_GoBack"/>
      <w:bookmarkEnd w:id="0"/>
      <w:r w:rsidR="00732B90">
        <w:rPr>
          <w:rFonts w:ascii="Arial" w:hAnsi="Arial" w:cs="Arial"/>
          <w:color w:val="000000"/>
          <w:sz w:val="20"/>
          <w:szCs w:val="20"/>
        </w:rPr>
        <w:t>avním zákonem</w:t>
      </w:r>
      <w:r w:rsidR="00363F01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63F01" w:rsidRDefault="00363F01" w:rsidP="000C4C36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256744" w:rsidRPr="000C4C36" w:rsidRDefault="00256744" w:rsidP="000C4C3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C4C36">
        <w:rPr>
          <w:rFonts w:ascii="Arial" w:hAnsi="Arial" w:cs="Arial"/>
          <w:i/>
          <w:sz w:val="20"/>
          <w:szCs w:val="20"/>
        </w:rPr>
        <w:t>„</w:t>
      </w:r>
      <w:r w:rsidRPr="000C4C36">
        <w:rPr>
          <w:rFonts w:ascii="Arial" w:eastAsia="Times New Roman" w:hAnsi="Arial" w:cs="Arial"/>
          <w:i/>
          <w:sz w:val="20"/>
          <w:szCs w:val="20"/>
        </w:rPr>
        <w:t>Ú</w:t>
      </w:r>
      <w:r w:rsidRPr="002E424E">
        <w:rPr>
          <w:rFonts w:ascii="Arial" w:eastAsia="Times New Roman" w:hAnsi="Arial" w:cs="Arial"/>
          <w:i/>
          <w:sz w:val="20"/>
          <w:szCs w:val="20"/>
        </w:rPr>
        <w:t>p</w:t>
      </w:r>
      <w:r w:rsidRPr="000C4C36">
        <w:rPr>
          <w:rFonts w:ascii="Arial" w:eastAsia="Times New Roman" w:hAnsi="Arial" w:cs="Arial"/>
          <w:i/>
          <w:sz w:val="20"/>
          <w:szCs w:val="20"/>
        </w:rPr>
        <w:t>rava rozpočtové odpovědnosti</w:t>
      </w:r>
      <w:r w:rsidRPr="002E424E">
        <w:rPr>
          <w:rFonts w:ascii="Arial" w:eastAsia="Times New Roman" w:hAnsi="Arial" w:cs="Arial"/>
          <w:i/>
          <w:sz w:val="20"/>
          <w:szCs w:val="20"/>
        </w:rPr>
        <w:t xml:space="preserve"> „běžným“ zákonem bez ústavní změny </w:t>
      </w:r>
      <w:r w:rsidRPr="000C4C36">
        <w:rPr>
          <w:rFonts w:ascii="Arial" w:eastAsia="Times New Roman" w:hAnsi="Arial" w:cs="Arial"/>
          <w:i/>
          <w:sz w:val="20"/>
          <w:szCs w:val="20"/>
        </w:rPr>
        <w:t>může vést k pochybnostem</w:t>
      </w:r>
      <w:r w:rsidR="00363F01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0C4C36">
        <w:rPr>
          <w:rFonts w:ascii="Arial" w:eastAsia="Times New Roman" w:hAnsi="Arial" w:cs="Arial"/>
          <w:i/>
          <w:sz w:val="20"/>
          <w:szCs w:val="20"/>
        </w:rPr>
        <w:t>o</w:t>
      </w:r>
      <w:r w:rsidR="00363F01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0C4C36">
        <w:rPr>
          <w:rFonts w:ascii="Arial" w:eastAsia="Times New Roman" w:hAnsi="Arial" w:cs="Arial"/>
          <w:i/>
          <w:sz w:val="20"/>
          <w:szCs w:val="20"/>
        </w:rPr>
        <w:t xml:space="preserve">ústavnosti </w:t>
      </w:r>
      <w:r w:rsidR="00732B90">
        <w:rPr>
          <w:rFonts w:ascii="Arial" w:eastAsia="Times New Roman" w:hAnsi="Arial" w:cs="Arial"/>
          <w:i/>
          <w:sz w:val="20"/>
          <w:szCs w:val="20"/>
        </w:rPr>
        <w:t>takového řešení</w:t>
      </w:r>
      <w:r w:rsidR="00615848">
        <w:rPr>
          <w:rFonts w:ascii="Arial" w:eastAsia="Times New Roman" w:hAnsi="Arial" w:cs="Arial"/>
          <w:i/>
          <w:sz w:val="20"/>
          <w:szCs w:val="20"/>
        </w:rPr>
        <w:t>,</w:t>
      </w:r>
      <w:r w:rsidRPr="000C4C36">
        <w:rPr>
          <w:rFonts w:ascii="Arial" w:eastAsia="Times New Roman" w:hAnsi="Arial" w:cs="Arial"/>
          <w:i/>
          <w:sz w:val="20"/>
          <w:szCs w:val="20"/>
        </w:rPr>
        <w:t>“</w:t>
      </w:r>
      <w:r w:rsidRPr="000C4C36">
        <w:rPr>
          <w:rFonts w:ascii="Arial" w:eastAsia="Times New Roman" w:hAnsi="Arial" w:cs="Arial"/>
          <w:sz w:val="20"/>
          <w:szCs w:val="20"/>
        </w:rPr>
        <w:t xml:space="preserve"> říká </w:t>
      </w:r>
      <w:r w:rsidRPr="000C4C36">
        <w:rPr>
          <w:rFonts w:ascii="Arial" w:eastAsia="Times New Roman" w:hAnsi="Arial" w:cs="Arial"/>
          <w:b/>
          <w:sz w:val="20"/>
          <w:szCs w:val="20"/>
        </w:rPr>
        <w:t>výkonný ředitel Svazu měst a obcí ČR Dan Jiránek</w:t>
      </w:r>
      <w:r w:rsidRPr="000C4C36">
        <w:rPr>
          <w:rFonts w:ascii="Arial" w:eastAsia="Times New Roman" w:hAnsi="Arial" w:cs="Arial"/>
          <w:sz w:val="20"/>
          <w:szCs w:val="20"/>
        </w:rPr>
        <w:t xml:space="preserve"> a dodává: </w:t>
      </w:r>
      <w:r w:rsidRPr="000C4C36">
        <w:rPr>
          <w:rFonts w:ascii="Arial" w:eastAsia="Times New Roman" w:hAnsi="Arial" w:cs="Arial"/>
          <w:i/>
          <w:sz w:val="20"/>
          <w:szCs w:val="20"/>
        </w:rPr>
        <w:t>„T</w:t>
      </w:r>
      <w:r w:rsidR="00732B90">
        <w:rPr>
          <w:rFonts w:ascii="Arial" w:eastAsia="Times New Roman" w:hAnsi="Arial" w:cs="Arial"/>
          <w:i/>
          <w:sz w:val="20"/>
          <w:szCs w:val="20"/>
        </w:rPr>
        <w:t>o, že vláda předložila úpravu rozpočtové odpovědnosti ústavním zákonem, samozřejmě mělo svůj důvod</w:t>
      </w:r>
      <w:r w:rsidRPr="002E424E">
        <w:rPr>
          <w:rFonts w:ascii="Arial" w:eastAsia="Times New Roman" w:hAnsi="Arial" w:cs="Arial"/>
          <w:i/>
          <w:sz w:val="20"/>
          <w:szCs w:val="20"/>
        </w:rPr>
        <w:t>.</w:t>
      </w:r>
      <w:r w:rsidRPr="000C4C36">
        <w:rPr>
          <w:rFonts w:ascii="Arial" w:eastAsia="Times New Roman" w:hAnsi="Arial" w:cs="Arial"/>
          <w:i/>
          <w:sz w:val="20"/>
          <w:szCs w:val="20"/>
        </w:rPr>
        <w:t>“</w:t>
      </w:r>
    </w:p>
    <w:p w:rsidR="000C4C36" w:rsidRDefault="000C4C36" w:rsidP="000C4C3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345C2" w:rsidRPr="000C4C36" w:rsidRDefault="00256744" w:rsidP="000C4C3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C4C36">
        <w:rPr>
          <w:rFonts w:ascii="Arial" w:hAnsi="Arial" w:cs="Arial"/>
          <w:sz w:val="20"/>
          <w:szCs w:val="20"/>
        </w:rPr>
        <w:t xml:space="preserve">Nad úroveň 60 % průměru příjmů za poslední čtyři kalendářní roky bylo v roce 2015 podle Ministerstva financí zadluženo 445 obcí, což je zhruba 7 % samospráv v České republice. Navrhovaná regulace by se tak týkala naprostého minima </w:t>
      </w:r>
      <w:r w:rsidR="00B11739">
        <w:rPr>
          <w:rFonts w:ascii="Arial" w:hAnsi="Arial" w:cs="Arial"/>
          <w:sz w:val="20"/>
          <w:szCs w:val="20"/>
        </w:rPr>
        <w:t>měst a obcí</w:t>
      </w:r>
      <w:r w:rsidRPr="000C4C36">
        <w:rPr>
          <w:rFonts w:ascii="Arial" w:hAnsi="Arial" w:cs="Arial"/>
          <w:sz w:val="20"/>
          <w:szCs w:val="20"/>
        </w:rPr>
        <w:t xml:space="preserve">, smysl tak není jasný. </w:t>
      </w:r>
      <w:r w:rsidR="00363F01">
        <w:rPr>
          <w:rFonts w:ascii="Arial" w:hAnsi="Arial" w:cs="Arial"/>
          <w:sz w:val="20"/>
          <w:szCs w:val="20"/>
        </w:rPr>
        <w:t xml:space="preserve">Chybí také hodnocení </w:t>
      </w:r>
      <w:r w:rsidR="00B11739">
        <w:rPr>
          <w:rFonts w:ascii="Arial" w:hAnsi="Arial" w:cs="Arial"/>
          <w:sz w:val="20"/>
          <w:szCs w:val="20"/>
        </w:rPr>
        <w:t>dopad</w:t>
      </w:r>
      <w:r w:rsidR="00363F01">
        <w:rPr>
          <w:rFonts w:ascii="Arial" w:hAnsi="Arial" w:cs="Arial"/>
          <w:sz w:val="20"/>
          <w:szCs w:val="20"/>
        </w:rPr>
        <w:t xml:space="preserve">ů regulace. </w:t>
      </w:r>
      <w:r w:rsidR="00B11739">
        <w:rPr>
          <w:rFonts w:ascii="Arial" w:hAnsi="Arial" w:cs="Arial"/>
          <w:sz w:val="20"/>
          <w:szCs w:val="20"/>
        </w:rPr>
        <w:t>V</w:t>
      </w:r>
      <w:r w:rsidRPr="000C4C36">
        <w:rPr>
          <w:rFonts w:ascii="Arial" w:hAnsi="Arial" w:cs="Arial"/>
          <w:sz w:val="20"/>
          <w:szCs w:val="20"/>
        </w:rPr>
        <w:t xml:space="preserve"> Rakousku a Německu taková právní úprava neexistuje. </w:t>
      </w:r>
    </w:p>
    <w:p w:rsidR="00B345C2" w:rsidRDefault="00B345C2" w:rsidP="000C4C36">
      <w:pPr>
        <w:spacing w:after="0" w:line="28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EE42B3" w:rsidRDefault="00EE42B3" w:rsidP="000C4C36">
      <w:pPr>
        <w:spacing w:after="0" w:line="280" w:lineRule="atLeast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EE42B3" w:rsidRPr="00931EA5" w:rsidRDefault="00EE42B3" w:rsidP="000C4C36">
      <w:pPr>
        <w:pStyle w:val="Odstavecseseznamem"/>
        <w:spacing w:line="28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5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EE42B3" w:rsidRDefault="00EE42B3" w:rsidP="000C4C36">
      <w:pPr>
        <w:pStyle w:val="Odstavecseseznamem"/>
        <w:spacing w:line="28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EE42B3" w:rsidRPr="00CF1161" w:rsidRDefault="00EE42B3" w:rsidP="000C4C36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2253C1" w:rsidRPr="005F1A9B" w:rsidRDefault="00EE42B3" w:rsidP="000C4C36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6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="00916E65">
        <w:t xml:space="preserve"> </w:t>
      </w:r>
      <w:r w:rsidRPr="00105B83">
        <w:rPr>
          <w:rFonts w:ascii="Arial" w:hAnsi="Arial" w:cs="Arial"/>
          <w:i/>
          <w:sz w:val="20"/>
          <w:szCs w:val="20"/>
        </w:rPr>
        <w:t xml:space="preserve">a na </w:t>
      </w:r>
      <w:hyperlink r:id="rId7" w:history="1">
        <w:proofErr w:type="spellStart"/>
        <w:r w:rsidRPr="00105B83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105B83">
        <w:rPr>
          <w:rFonts w:ascii="Arial" w:hAnsi="Arial" w:cs="Arial"/>
          <w:i/>
          <w:sz w:val="20"/>
          <w:szCs w:val="20"/>
        </w:rPr>
        <w:t>.</w:t>
      </w:r>
    </w:p>
    <w:sectPr w:rsidR="002253C1" w:rsidRPr="005F1A9B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1175E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deněk Mandík">
    <w15:presenceInfo w15:providerId="Windows Live" w15:userId="55102697ab020a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6F25"/>
    <w:rsid w:val="00074BCB"/>
    <w:rsid w:val="000C4C36"/>
    <w:rsid w:val="000D3105"/>
    <w:rsid w:val="00126125"/>
    <w:rsid w:val="001548C7"/>
    <w:rsid w:val="00155BD7"/>
    <w:rsid w:val="001918EE"/>
    <w:rsid w:val="002253C1"/>
    <w:rsid w:val="00256744"/>
    <w:rsid w:val="00312BC7"/>
    <w:rsid w:val="00363F01"/>
    <w:rsid w:val="003A6F25"/>
    <w:rsid w:val="003D3510"/>
    <w:rsid w:val="004B55AA"/>
    <w:rsid w:val="004D26BE"/>
    <w:rsid w:val="004E30C4"/>
    <w:rsid w:val="005D365A"/>
    <w:rsid w:val="005E4AEF"/>
    <w:rsid w:val="005F1A9B"/>
    <w:rsid w:val="00615848"/>
    <w:rsid w:val="00652D47"/>
    <w:rsid w:val="00667B21"/>
    <w:rsid w:val="00691C8D"/>
    <w:rsid w:val="006E059C"/>
    <w:rsid w:val="007249F7"/>
    <w:rsid w:val="00732B90"/>
    <w:rsid w:val="0074444B"/>
    <w:rsid w:val="007C1EEF"/>
    <w:rsid w:val="00827F61"/>
    <w:rsid w:val="00857B58"/>
    <w:rsid w:val="00916E65"/>
    <w:rsid w:val="0092795E"/>
    <w:rsid w:val="00B045D7"/>
    <w:rsid w:val="00B11739"/>
    <w:rsid w:val="00B168E2"/>
    <w:rsid w:val="00B22F2C"/>
    <w:rsid w:val="00B345C2"/>
    <w:rsid w:val="00B73798"/>
    <w:rsid w:val="00B90124"/>
    <w:rsid w:val="00BC6E91"/>
    <w:rsid w:val="00C925E3"/>
    <w:rsid w:val="00E41208"/>
    <w:rsid w:val="00EA1E27"/>
    <w:rsid w:val="00EE3CFF"/>
    <w:rsid w:val="00EE42B3"/>
    <w:rsid w:val="00F6203E"/>
    <w:rsid w:val="00F96A40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D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6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6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smocr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ocr.cz" TargetMode="External"/><Relationship Id="rId11" Type="http://schemas.microsoft.com/office/2011/relationships/people" Target="people.xml"/><Relationship Id="rId5" Type="http://schemas.openxmlformats.org/officeDocument/2006/relationships/hyperlink" Target="mailto:filipova@smocr.cz" TargetMode="External"/><Relationship Id="rId10" Type="http://schemas.microsoft.com/office/2011/relationships/commentsExtended" Target="commentsExtended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filipova</cp:lastModifiedBy>
  <cp:revision>8</cp:revision>
  <dcterms:created xsi:type="dcterms:W3CDTF">2016-09-21T14:48:00Z</dcterms:created>
  <dcterms:modified xsi:type="dcterms:W3CDTF">2016-10-18T13:44:00Z</dcterms:modified>
</cp:coreProperties>
</file>