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4D7" w:rsidRPr="00306187" w:rsidRDefault="002D04D7" w:rsidP="002D04D7">
      <w:pPr>
        <w:numPr>
          <w:ilvl w:val="0"/>
          <w:numId w:val="1"/>
        </w:numPr>
        <w:spacing w:after="0" w:line="240" w:lineRule="atLeast"/>
        <w:ind w:left="0" w:firstLine="0"/>
        <w:rPr>
          <w:rFonts w:ascii="Times New Roman" w:eastAsia="Times New Roman" w:hAnsi="Times New Roman"/>
          <w:b/>
          <w:sz w:val="24"/>
          <w:szCs w:val="24"/>
        </w:rPr>
      </w:pPr>
      <w:bookmarkStart w:id="0" w:name="_GoBack"/>
      <w:bookmarkEnd w:id="0"/>
      <w:r w:rsidRPr="00A6022F">
        <w:rPr>
          <w:rFonts w:ascii="Times New Roman" w:eastAsia="Times New Roman" w:hAnsi="Times New Roman"/>
          <w:b/>
          <w:color w:val="000000"/>
          <w:sz w:val="24"/>
          <w:szCs w:val="24"/>
        </w:rPr>
        <w:t xml:space="preserve">Pokud obce budou nechávat své finanční prostředky na účtech u ČNB, budou mít zajištěny tyto vklady u ČNB, když u komerčních bank ne? Je lepší mít peníze u ČNB, která v podstatě „nemůže zkrachovat“? </w:t>
      </w:r>
    </w:p>
    <w:p w:rsidR="002D04D7" w:rsidRPr="00306187" w:rsidRDefault="002D04D7" w:rsidP="002D04D7">
      <w:pPr>
        <w:spacing w:after="0" w:line="240" w:lineRule="atLeast"/>
        <w:ind w:left="720"/>
        <w:rPr>
          <w:rFonts w:ascii="Times New Roman" w:eastAsia="Times New Roman" w:hAnsi="Times New Roman"/>
          <w:sz w:val="24"/>
          <w:szCs w:val="24"/>
        </w:rPr>
      </w:pPr>
    </w:p>
    <w:p w:rsidR="002D04D7" w:rsidRDefault="002D04D7" w:rsidP="002D04D7">
      <w:pPr>
        <w:spacing w:before="120" w:after="0" w:line="240" w:lineRule="auto"/>
        <w:jc w:val="both"/>
        <w:rPr>
          <w:rFonts w:ascii="Times New Roman" w:hAnsi="Times New Roman"/>
          <w:sz w:val="24"/>
          <w:szCs w:val="24"/>
        </w:rPr>
      </w:pPr>
      <w:r w:rsidRPr="00306187">
        <w:rPr>
          <w:rFonts w:ascii="Times New Roman" w:hAnsi="Times New Roman"/>
          <w:sz w:val="24"/>
          <w:szCs w:val="24"/>
        </w:rPr>
        <w:t xml:space="preserve">V dotazu se nepřesně používá pojem „zajištění vkladů“. Obecně platí, že úvěrová instituce (banka, družstevní záložna) může zkrachovat. Pro takový případ existuje dle evropské legislativy institut pojištění vkladů. Ten pak zahrnuje pouze úvěrové instituce, nikoli centrální banky. Proto se i tuzemský systém pojištění pohledávek z vkladů upravený v části čtrnácté zákona č. 21/1992 Sb., o bankách, ve znění pozdějších předpisů, na vklady vedené u České národní banky nevztahuje. </w:t>
      </w:r>
    </w:p>
    <w:p w:rsidR="002D04D7" w:rsidRPr="00DF44CD" w:rsidRDefault="002D04D7" w:rsidP="002D04D7">
      <w:pPr>
        <w:spacing w:before="120" w:after="0" w:line="240" w:lineRule="auto"/>
        <w:jc w:val="both"/>
        <w:rPr>
          <w:rFonts w:ascii="Times New Roman" w:hAnsi="Times New Roman"/>
          <w:sz w:val="24"/>
          <w:szCs w:val="24"/>
        </w:rPr>
      </w:pPr>
      <w:r w:rsidRPr="00DF44CD">
        <w:rPr>
          <w:rFonts w:ascii="Times New Roman" w:hAnsi="Times New Roman"/>
          <w:sz w:val="24"/>
          <w:szCs w:val="24"/>
        </w:rPr>
        <w:t>Pohledávky z</w:t>
      </w:r>
      <w:r>
        <w:rPr>
          <w:rFonts w:ascii="Times New Roman" w:hAnsi="Times New Roman"/>
          <w:sz w:val="24"/>
          <w:szCs w:val="24"/>
        </w:rPr>
        <w:t xml:space="preserve"> </w:t>
      </w:r>
      <w:r w:rsidRPr="00DF44CD">
        <w:rPr>
          <w:rFonts w:ascii="Times New Roman" w:hAnsi="Times New Roman"/>
          <w:sz w:val="24"/>
          <w:szCs w:val="24"/>
        </w:rPr>
        <w:t>vkladů</w:t>
      </w:r>
      <w:r>
        <w:rPr>
          <w:rFonts w:ascii="Times New Roman" w:hAnsi="Times New Roman"/>
          <w:sz w:val="24"/>
          <w:szCs w:val="24"/>
        </w:rPr>
        <w:t xml:space="preserve"> územních samosprávných celků (dále jen „</w:t>
      </w:r>
      <w:r w:rsidRPr="00DF44CD">
        <w:rPr>
          <w:rFonts w:ascii="Times New Roman" w:hAnsi="Times New Roman"/>
          <w:sz w:val="24"/>
          <w:szCs w:val="24"/>
        </w:rPr>
        <w:t>ÚSC</w:t>
      </w:r>
      <w:r>
        <w:rPr>
          <w:rFonts w:ascii="Times New Roman" w:hAnsi="Times New Roman"/>
          <w:sz w:val="24"/>
          <w:szCs w:val="24"/>
        </w:rPr>
        <w:t>“)</w:t>
      </w:r>
      <w:r w:rsidRPr="00DF44CD">
        <w:rPr>
          <w:rFonts w:ascii="Times New Roman" w:hAnsi="Times New Roman"/>
          <w:sz w:val="24"/>
          <w:szCs w:val="24"/>
        </w:rPr>
        <w:t xml:space="preserve"> jsou pojištěny, pokud ÚSC doloží bance nebo pobočce banky z jiného než členského státu, že výše jeho skutečných daňových příjmů za rok, který o 2 roky předchází roku, v němž mají být pojištěny pohledávky z jeho vkladů, nepřesahuje zákonem stanovenou výši. Pohledávky z vkladů ÚSC jsou pojištěny od začátku kalendářního roku, v němž mají být pojištěny nebo ode dne, kdy banka vydá potvrzení o tom, že pohledávky z vkladů ÚSC splňují podmínky pro jejich pojištění, podle toho, který okamžik nastane později, do konce kalendářního roku, v němž mají být pojištěny. K doložení skutečných daňových příjmů po rozhodném dni se nepřihlíží.</w:t>
      </w:r>
    </w:p>
    <w:p w:rsidR="002D04D7" w:rsidRPr="00DF44CD" w:rsidRDefault="002D04D7" w:rsidP="002D04D7">
      <w:pPr>
        <w:spacing w:before="120" w:after="0" w:line="240" w:lineRule="auto"/>
        <w:jc w:val="both"/>
        <w:rPr>
          <w:rFonts w:ascii="Times New Roman" w:hAnsi="Times New Roman"/>
          <w:sz w:val="24"/>
          <w:szCs w:val="24"/>
        </w:rPr>
      </w:pPr>
      <w:r w:rsidRPr="00DF44CD">
        <w:rPr>
          <w:rFonts w:ascii="Times New Roman" w:hAnsi="Times New Roman"/>
          <w:sz w:val="24"/>
          <w:szCs w:val="24"/>
        </w:rPr>
        <w:t>Banka a pobočka banky z jiného než členského státu vydá bez zbytečného odkladu po doložení skutečných daňových příjmů ÚSC potvrzení, zda a po které období jsou pohledávky z vkladů ÚSC pojištěny.</w:t>
      </w:r>
    </w:p>
    <w:p w:rsidR="002D04D7" w:rsidRPr="00DF44CD" w:rsidRDefault="002D04D7" w:rsidP="002D04D7">
      <w:pPr>
        <w:spacing w:before="120" w:after="0" w:line="240" w:lineRule="auto"/>
        <w:jc w:val="both"/>
        <w:rPr>
          <w:rFonts w:ascii="Times New Roman" w:hAnsi="Times New Roman"/>
          <w:sz w:val="24"/>
          <w:szCs w:val="24"/>
        </w:rPr>
      </w:pPr>
      <w:r w:rsidRPr="00DF44CD">
        <w:rPr>
          <w:rFonts w:ascii="Times New Roman" w:hAnsi="Times New Roman"/>
          <w:sz w:val="24"/>
          <w:szCs w:val="24"/>
        </w:rPr>
        <w:t xml:space="preserve">Pohledávky z vkladů ÚSC s daňovými příjmy nižšími než 500 tis. EUR </w:t>
      </w:r>
      <w:r>
        <w:rPr>
          <w:rFonts w:ascii="Times New Roman" w:hAnsi="Times New Roman"/>
          <w:sz w:val="24"/>
          <w:szCs w:val="24"/>
        </w:rPr>
        <w:t xml:space="preserve">(cca 14 mil. Kč) </w:t>
      </w:r>
      <w:r w:rsidRPr="00DF44CD">
        <w:rPr>
          <w:rFonts w:ascii="Times New Roman" w:hAnsi="Times New Roman"/>
          <w:sz w:val="24"/>
          <w:szCs w:val="24"/>
        </w:rPr>
        <w:t>u finančních institucí jsou pojištěny v Garančním systému finančního trhu do výše 100 tis. EUR (u jedné banky, na jednoho vkladatele). A i nadále</w:t>
      </w:r>
      <w:r>
        <w:rPr>
          <w:rFonts w:ascii="Times New Roman" w:hAnsi="Times New Roman"/>
          <w:sz w:val="24"/>
          <w:szCs w:val="24"/>
        </w:rPr>
        <w:t>,</w:t>
      </w:r>
      <w:r w:rsidRPr="00DF44CD">
        <w:rPr>
          <w:rFonts w:ascii="Times New Roman" w:hAnsi="Times New Roman"/>
          <w:sz w:val="24"/>
          <w:szCs w:val="24"/>
        </w:rPr>
        <w:t xml:space="preserve"> pokud dojde k situaci, kdy nějakou bankovní instituci ČNB označí za insolventní (neschopnou dostát svým závazkům) nebo soud vydá rozhodnutí o úpadku nebo jiné rozhodnutí z důvodu přímo souvisejících s finanční situací banky, jehož důsledkem je pozastavení práva vkladatelů nakládat s vklady, na které se vztahuje pojištění, klientům budou vklady vyplaceny </w:t>
      </w:r>
      <w:r>
        <w:rPr>
          <w:rFonts w:ascii="Times New Roman" w:hAnsi="Times New Roman"/>
          <w:sz w:val="24"/>
          <w:szCs w:val="24"/>
        </w:rPr>
        <w:t>do limitu 100 tis. EUR</w:t>
      </w:r>
      <w:r w:rsidRPr="00DF44CD">
        <w:rPr>
          <w:rFonts w:ascii="Times New Roman" w:hAnsi="Times New Roman"/>
          <w:sz w:val="24"/>
          <w:szCs w:val="24"/>
        </w:rPr>
        <w:t>.</w:t>
      </w:r>
    </w:p>
    <w:p w:rsidR="002D04D7" w:rsidRPr="00DF44CD" w:rsidRDefault="002D04D7" w:rsidP="002D04D7">
      <w:pPr>
        <w:spacing w:before="120" w:after="0" w:line="240" w:lineRule="auto"/>
        <w:jc w:val="both"/>
        <w:rPr>
          <w:rFonts w:ascii="Times New Roman" w:hAnsi="Times New Roman"/>
          <w:sz w:val="24"/>
          <w:szCs w:val="24"/>
        </w:rPr>
      </w:pPr>
      <w:r w:rsidRPr="00DF44CD">
        <w:rPr>
          <w:rFonts w:ascii="Times New Roman" w:hAnsi="Times New Roman"/>
          <w:sz w:val="24"/>
          <w:szCs w:val="24"/>
        </w:rPr>
        <w:t>ČNB plní úlohu centrální banky s emisní funkcí. Z podstaty věci u ní tudíž nemůže nastat úpadek či obdobná situace. Vklady klientů u Č</w:t>
      </w:r>
      <w:r>
        <w:rPr>
          <w:rFonts w:ascii="Times New Roman" w:hAnsi="Times New Roman"/>
          <w:sz w:val="24"/>
          <w:szCs w:val="24"/>
        </w:rPr>
        <w:t xml:space="preserve">NB </w:t>
      </w:r>
      <w:r w:rsidRPr="00DF44CD">
        <w:rPr>
          <w:rFonts w:ascii="Times New Roman" w:hAnsi="Times New Roman"/>
          <w:sz w:val="24"/>
          <w:szCs w:val="24"/>
        </w:rPr>
        <w:t>z tohoto důvodu nepodléhají pojištění vkladů a obce nemusejí a ani nepotřebují žádat o potvrzení o pojištění vkladů uložených na účtech vedených v ČNB. Podrobněji je problematika popsána na internetových stránkách Č</w:t>
      </w:r>
      <w:r>
        <w:rPr>
          <w:rFonts w:ascii="Times New Roman" w:hAnsi="Times New Roman"/>
          <w:sz w:val="24"/>
          <w:szCs w:val="24"/>
        </w:rPr>
        <w:t>NB</w:t>
      </w:r>
      <w:r w:rsidRPr="00DF44CD">
        <w:rPr>
          <w:rFonts w:ascii="Times New Roman" w:hAnsi="Times New Roman"/>
          <w:sz w:val="24"/>
          <w:szCs w:val="24"/>
        </w:rPr>
        <w:t>:</w:t>
      </w:r>
      <w:r>
        <w:rPr>
          <w:rFonts w:ascii="Times New Roman" w:hAnsi="Times New Roman"/>
          <w:sz w:val="24"/>
          <w:szCs w:val="24"/>
        </w:rPr>
        <w:t xml:space="preserve"> </w:t>
      </w:r>
      <w:hyperlink r:id="rId7" w:history="1">
        <w:r w:rsidRPr="00DF44CD">
          <w:rPr>
            <w:rStyle w:val="Hypertextovodkaz"/>
            <w:rFonts w:ascii="Times New Roman" w:hAnsi="Times New Roman"/>
            <w:sz w:val="24"/>
            <w:szCs w:val="24"/>
          </w:rPr>
          <w:t>http://www.cnb.cz/cs/faq/jak_jsou_pojisteny_vklady_u_bank.html</w:t>
        </w:r>
      </w:hyperlink>
      <w:r w:rsidRPr="00DF44CD">
        <w:rPr>
          <w:rFonts w:ascii="Times New Roman" w:hAnsi="Times New Roman"/>
          <w:sz w:val="24"/>
          <w:szCs w:val="24"/>
        </w:rPr>
        <w:t>.</w:t>
      </w:r>
    </w:p>
    <w:p w:rsidR="002D04D7" w:rsidRDefault="002D04D7" w:rsidP="002D04D7">
      <w:pPr>
        <w:spacing w:before="120" w:after="0" w:line="240" w:lineRule="auto"/>
        <w:jc w:val="both"/>
        <w:rPr>
          <w:rFonts w:ascii="Times New Roman" w:hAnsi="Times New Roman"/>
          <w:sz w:val="24"/>
          <w:szCs w:val="24"/>
        </w:rPr>
      </w:pPr>
    </w:p>
    <w:p w:rsidR="002D04D7" w:rsidRPr="00306187" w:rsidRDefault="002D04D7" w:rsidP="002D04D7">
      <w:pPr>
        <w:numPr>
          <w:ilvl w:val="0"/>
          <w:numId w:val="1"/>
        </w:numPr>
        <w:spacing w:after="0" w:line="240" w:lineRule="atLeast"/>
        <w:ind w:left="284" w:hanging="284"/>
        <w:rPr>
          <w:rFonts w:ascii="Times New Roman" w:eastAsia="Times New Roman" w:hAnsi="Times New Roman"/>
          <w:b/>
          <w:sz w:val="24"/>
          <w:szCs w:val="24"/>
        </w:rPr>
      </w:pPr>
      <w:r w:rsidRPr="00A6022F">
        <w:rPr>
          <w:rFonts w:ascii="Times New Roman" w:eastAsia="Times New Roman" w:hAnsi="Times New Roman"/>
          <w:b/>
          <w:color w:val="000000"/>
          <w:sz w:val="24"/>
          <w:szCs w:val="24"/>
        </w:rPr>
        <w:t>Jaká je  garance, že o peníze u ČNB obce nepřijdou? Může stát v případě krize jejich peníze použít (zkonfiskovat)?</w:t>
      </w:r>
    </w:p>
    <w:p w:rsidR="002D04D7" w:rsidRPr="00306187" w:rsidRDefault="002D04D7" w:rsidP="002D04D7">
      <w:pPr>
        <w:pStyle w:val="Odstavecseseznamem"/>
        <w:spacing w:line="240" w:lineRule="atLeast"/>
        <w:rPr>
          <w:rFonts w:eastAsia="Times New Roman"/>
        </w:rPr>
      </w:pPr>
    </w:p>
    <w:p w:rsidR="002D04D7" w:rsidRDefault="002D04D7" w:rsidP="002D04D7">
      <w:pPr>
        <w:spacing w:line="240" w:lineRule="atLeast"/>
        <w:jc w:val="both"/>
        <w:rPr>
          <w:rFonts w:ascii="Times New Roman" w:hAnsi="Times New Roman"/>
          <w:sz w:val="24"/>
          <w:szCs w:val="24"/>
        </w:rPr>
      </w:pPr>
      <w:r w:rsidRPr="00306187">
        <w:rPr>
          <w:rFonts w:ascii="Times New Roman" w:hAnsi="Times New Roman"/>
          <w:sz w:val="24"/>
          <w:szCs w:val="24"/>
        </w:rPr>
        <w:t xml:space="preserve">Česká národní banka je zřízena Ústavou České republiky, přičemž její postavení a působnost upravuje zákon č. 6/1993 Sb., o České národní bance, ve znění pozdějších předpisů. Do činnosti České národní banky lze zasahovat pouze na základě zákona, resp. prostřednictvím změny Ústavního pořádku České republiky. Podle současného znění § 30 zákona č. 6/1993 Sb., o České národní bance, vede Česká národní banka účty podle rozpočtových pravidel. </w:t>
      </w:r>
    </w:p>
    <w:p w:rsidR="002D04D7" w:rsidRPr="009A620B" w:rsidRDefault="002D04D7" w:rsidP="002D04D7">
      <w:pPr>
        <w:spacing w:before="120" w:after="0" w:line="240" w:lineRule="auto"/>
        <w:jc w:val="both"/>
        <w:rPr>
          <w:rFonts w:ascii="Times New Roman" w:hAnsi="Times New Roman"/>
          <w:sz w:val="24"/>
          <w:szCs w:val="24"/>
        </w:rPr>
      </w:pPr>
      <w:r w:rsidRPr="009A620B">
        <w:rPr>
          <w:rFonts w:ascii="Times New Roman" w:hAnsi="Times New Roman"/>
          <w:sz w:val="24"/>
          <w:szCs w:val="24"/>
        </w:rPr>
        <w:t xml:space="preserve">V souladu se zákonem o rozpočtových pravidlech jsou peněžní prostředky na účtech </w:t>
      </w:r>
      <w:r>
        <w:rPr>
          <w:rFonts w:ascii="Times New Roman" w:hAnsi="Times New Roman"/>
          <w:sz w:val="24"/>
          <w:szCs w:val="24"/>
        </w:rPr>
        <w:t>ÚSC</w:t>
      </w:r>
      <w:r w:rsidRPr="009A620B">
        <w:rPr>
          <w:rFonts w:ascii="Times New Roman" w:hAnsi="Times New Roman"/>
          <w:sz w:val="24"/>
          <w:szCs w:val="24"/>
        </w:rPr>
        <w:t xml:space="preserve"> a dobrovolných svazků obcí určených k příjmu dotací a návratných finančních výpomocí ze státního rozpočtu, státních fondů, Národního fondu</w:t>
      </w:r>
      <w:r>
        <w:rPr>
          <w:rFonts w:ascii="Times New Roman" w:hAnsi="Times New Roman"/>
          <w:sz w:val="24"/>
          <w:szCs w:val="24"/>
        </w:rPr>
        <w:t>,</w:t>
      </w:r>
      <w:r w:rsidRPr="009A620B">
        <w:rPr>
          <w:rFonts w:ascii="Times New Roman" w:hAnsi="Times New Roman"/>
          <w:sz w:val="24"/>
          <w:szCs w:val="24"/>
        </w:rPr>
        <w:t xml:space="preserve"> součástí státní poklady. Tyto účty jsou určeny též k příjmům výnosů daní nebo podílu na nich převáděných správcem daně podle </w:t>
      </w:r>
      <w:r w:rsidRPr="009A620B">
        <w:rPr>
          <w:rFonts w:ascii="Times New Roman" w:hAnsi="Times New Roman"/>
          <w:sz w:val="24"/>
          <w:szCs w:val="24"/>
        </w:rPr>
        <w:lastRenderedPageBreak/>
        <w:t xml:space="preserve">zákona upravujícího rozpočtové určení daní, pokud </w:t>
      </w:r>
      <w:r>
        <w:rPr>
          <w:rFonts w:ascii="Times New Roman" w:hAnsi="Times New Roman"/>
          <w:sz w:val="24"/>
          <w:szCs w:val="24"/>
        </w:rPr>
        <w:t xml:space="preserve">ÚSC </w:t>
      </w:r>
      <w:r w:rsidRPr="009A620B">
        <w:rPr>
          <w:rFonts w:ascii="Times New Roman" w:hAnsi="Times New Roman"/>
          <w:sz w:val="24"/>
          <w:szCs w:val="24"/>
        </w:rPr>
        <w:t>tuto možnost nevyloučí písemným oznámením Ministerstvu financí a správci daně.</w:t>
      </w:r>
    </w:p>
    <w:p w:rsidR="002D04D7" w:rsidRPr="009A620B" w:rsidRDefault="002D04D7" w:rsidP="002D04D7">
      <w:pPr>
        <w:spacing w:before="120" w:after="0" w:line="240" w:lineRule="auto"/>
        <w:jc w:val="both"/>
        <w:rPr>
          <w:rFonts w:ascii="Times New Roman" w:hAnsi="Times New Roman"/>
          <w:sz w:val="24"/>
          <w:szCs w:val="24"/>
        </w:rPr>
      </w:pPr>
      <w:r>
        <w:rPr>
          <w:rFonts w:ascii="Times New Roman" w:hAnsi="Times New Roman"/>
          <w:sz w:val="24"/>
          <w:szCs w:val="24"/>
        </w:rPr>
        <w:t xml:space="preserve">ÚSC </w:t>
      </w:r>
      <w:r w:rsidRPr="009A620B">
        <w:rPr>
          <w:rFonts w:ascii="Times New Roman" w:hAnsi="Times New Roman"/>
          <w:sz w:val="24"/>
          <w:szCs w:val="24"/>
        </w:rPr>
        <w:t>jsou majiteli účtů u ČNB, na kterých jsou uloženy jejich vklady. Tyto prostředky mohou v souladu se zákonem o rozpočtových pravidlech převést na účty, které nejsou podřízeny státní pokladně.</w:t>
      </w:r>
    </w:p>
    <w:p w:rsidR="002D04D7" w:rsidRPr="009A620B" w:rsidRDefault="002D04D7" w:rsidP="002D04D7">
      <w:pPr>
        <w:spacing w:before="120" w:after="0" w:line="240" w:lineRule="auto"/>
        <w:jc w:val="both"/>
        <w:rPr>
          <w:rFonts w:ascii="Times New Roman" w:hAnsi="Times New Roman"/>
          <w:sz w:val="24"/>
          <w:szCs w:val="24"/>
        </w:rPr>
      </w:pPr>
      <w:r w:rsidRPr="009A620B">
        <w:rPr>
          <w:rFonts w:ascii="Times New Roman" w:hAnsi="Times New Roman"/>
          <w:sz w:val="24"/>
          <w:szCs w:val="24"/>
        </w:rPr>
        <w:t>Ústava ČR ve svém čl. 101 odst. 3 ÚSC</w:t>
      </w:r>
      <w:r>
        <w:rPr>
          <w:rFonts w:ascii="Times New Roman" w:hAnsi="Times New Roman"/>
          <w:sz w:val="24"/>
          <w:szCs w:val="24"/>
        </w:rPr>
        <w:t>,</w:t>
      </w:r>
      <w:r w:rsidRPr="009A620B">
        <w:rPr>
          <w:rFonts w:ascii="Times New Roman" w:hAnsi="Times New Roman"/>
          <w:sz w:val="24"/>
          <w:szCs w:val="24"/>
        </w:rPr>
        <w:t xml:space="preserve"> jakožto veřejnoprávním korporacím</w:t>
      </w:r>
      <w:r>
        <w:rPr>
          <w:rFonts w:ascii="Times New Roman" w:hAnsi="Times New Roman"/>
          <w:sz w:val="24"/>
          <w:szCs w:val="24"/>
        </w:rPr>
        <w:t>,</w:t>
      </w:r>
      <w:r w:rsidRPr="009A620B">
        <w:rPr>
          <w:rFonts w:ascii="Times New Roman" w:hAnsi="Times New Roman"/>
          <w:sz w:val="24"/>
          <w:szCs w:val="24"/>
        </w:rPr>
        <w:t xml:space="preserve"> přiznává právo mít vlastní majetek a hospodařit podle vlastního rozpočtu. V odst. 4 je pak možnost státu zasahovat do činnosti územních samosprávných celků omezena jen na případy, kdy to vyžaduje ochrana zákona, a jen způsobem stanoveným zákonem.</w:t>
      </w:r>
      <w:r>
        <w:rPr>
          <w:rFonts w:ascii="Times New Roman" w:hAnsi="Times New Roman"/>
          <w:sz w:val="24"/>
          <w:szCs w:val="24"/>
        </w:rPr>
        <w:t xml:space="preserve"> Z výše uvedeného tudíž plyne, že stát nemá možnost zkonfiskovat prostředky ÚSC vedené na účtech u ČNB.</w:t>
      </w:r>
    </w:p>
    <w:p w:rsidR="002D04D7" w:rsidRPr="00A6022F" w:rsidRDefault="002D04D7" w:rsidP="002D04D7">
      <w:pPr>
        <w:spacing w:after="0" w:line="240" w:lineRule="atLeast"/>
        <w:ind w:left="720"/>
        <w:rPr>
          <w:rFonts w:ascii="Times New Roman" w:eastAsia="Times New Roman" w:hAnsi="Times New Roman"/>
          <w:sz w:val="24"/>
          <w:szCs w:val="24"/>
        </w:rPr>
      </w:pPr>
    </w:p>
    <w:p w:rsidR="002D04D7" w:rsidRPr="00306187" w:rsidRDefault="002D04D7" w:rsidP="002D04D7">
      <w:pPr>
        <w:pStyle w:val="Odstavecseseznamem"/>
        <w:numPr>
          <w:ilvl w:val="0"/>
          <w:numId w:val="1"/>
        </w:numPr>
        <w:spacing w:line="240" w:lineRule="atLeast"/>
        <w:ind w:left="284" w:hanging="284"/>
        <w:rPr>
          <w:rFonts w:eastAsia="Times New Roman"/>
          <w:b/>
        </w:rPr>
      </w:pPr>
      <w:r w:rsidRPr="00306187">
        <w:rPr>
          <w:rFonts w:eastAsia="Times New Roman"/>
          <w:b/>
        </w:rPr>
        <w:t>Existuje možnost pojištění vkladů u některých komerčních bank nebo u ČNB?</w:t>
      </w:r>
    </w:p>
    <w:p w:rsidR="002D04D7" w:rsidRPr="00306187" w:rsidRDefault="002D04D7" w:rsidP="002D04D7">
      <w:pPr>
        <w:spacing w:after="0" w:line="240" w:lineRule="atLeast"/>
        <w:ind w:left="720"/>
        <w:rPr>
          <w:rFonts w:ascii="Times New Roman" w:eastAsia="Times New Roman" w:hAnsi="Times New Roman"/>
          <w:sz w:val="24"/>
          <w:szCs w:val="24"/>
        </w:rPr>
      </w:pPr>
    </w:p>
    <w:p w:rsidR="002D04D7" w:rsidRPr="00306187" w:rsidRDefault="002D04D7" w:rsidP="00DD43C4">
      <w:pPr>
        <w:spacing w:before="120" w:after="0" w:line="240" w:lineRule="auto"/>
        <w:jc w:val="both"/>
        <w:rPr>
          <w:rFonts w:ascii="Times New Roman" w:hAnsi="Times New Roman"/>
          <w:sz w:val="24"/>
          <w:szCs w:val="24"/>
        </w:rPr>
      </w:pPr>
      <w:r w:rsidRPr="00306187">
        <w:rPr>
          <w:rFonts w:ascii="Times New Roman" w:hAnsi="Times New Roman"/>
          <w:sz w:val="24"/>
          <w:szCs w:val="24"/>
        </w:rPr>
        <w:t>Jak uvádíme v odpovědi na první otázku, vklady u úvěrových institucí, tedy i bank, jsou pojištěny podle zákona č. 21/1992 Sb., o bankách</w:t>
      </w:r>
      <w:r>
        <w:rPr>
          <w:rFonts w:ascii="Times New Roman" w:hAnsi="Times New Roman"/>
          <w:sz w:val="24"/>
          <w:szCs w:val="24"/>
        </w:rPr>
        <w:t>, do hodnoty 100 tis. EUR</w:t>
      </w:r>
      <w:r w:rsidRPr="00306187">
        <w:rPr>
          <w:rFonts w:ascii="Times New Roman" w:hAnsi="Times New Roman"/>
          <w:sz w:val="24"/>
          <w:szCs w:val="24"/>
        </w:rPr>
        <w:t>. Toto pojištění se nevztahuje na vklady u centrální banky, která není úvěrovou institucí</w:t>
      </w:r>
      <w:r>
        <w:rPr>
          <w:rFonts w:ascii="Times New Roman" w:hAnsi="Times New Roman"/>
          <w:sz w:val="24"/>
          <w:szCs w:val="24"/>
        </w:rPr>
        <w:t>, a dále na vklady ÚSC, jejichž daňové příjmy přesahují hranici 500 tis. EUR (viz rovněž informace zveřejněná ve Zprávách pro finanční orgány obcí a krajů č. 7/2015)</w:t>
      </w:r>
      <w:r w:rsidRPr="00306187">
        <w:rPr>
          <w:rFonts w:ascii="Times New Roman" w:hAnsi="Times New Roman"/>
          <w:sz w:val="24"/>
          <w:szCs w:val="24"/>
        </w:rPr>
        <w:t>. Současně nám není známo, že by v České republice bylo nabízeno jiné (komerční) pojištění pohledávek z vkladů.</w:t>
      </w:r>
    </w:p>
    <w:p w:rsidR="002D04D7" w:rsidRPr="00A6022F" w:rsidRDefault="002D04D7" w:rsidP="002D04D7">
      <w:pPr>
        <w:spacing w:before="120" w:after="0" w:line="240" w:lineRule="auto"/>
        <w:rPr>
          <w:rFonts w:ascii="Times New Roman" w:eastAsia="Times New Roman" w:hAnsi="Times New Roman"/>
          <w:sz w:val="24"/>
          <w:szCs w:val="24"/>
        </w:rPr>
      </w:pPr>
    </w:p>
    <w:p w:rsidR="002D04D7" w:rsidRPr="00A6022F" w:rsidRDefault="002D04D7" w:rsidP="002D04D7">
      <w:pPr>
        <w:numPr>
          <w:ilvl w:val="0"/>
          <w:numId w:val="1"/>
        </w:numPr>
        <w:spacing w:after="0" w:line="240" w:lineRule="atLeast"/>
        <w:ind w:left="284" w:hanging="284"/>
        <w:rPr>
          <w:rFonts w:ascii="Times New Roman" w:eastAsia="Times New Roman" w:hAnsi="Times New Roman"/>
          <w:b/>
          <w:sz w:val="24"/>
          <w:szCs w:val="24"/>
        </w:rPr>
      </w:pPr>
      <w:r w:rsidRPr="00A6022F">
        <w:rPr>
          <w:rFonts w:ascii="Times New Roman" w:eastAsia="Times New Roman" w:hAnsi="Times New Roman"/>
          <w:b/>
          <w:sz w:val="24"/>
          <w:szCs w:val="24"/>
        </w:rPr>
        <w:t>Jak mají obce postupovat, když vklady již nemají ze zákona pojištěny, tak aby snížily případné riziko? Co byste jim doporučili.</w:t>
      </w:r>
    </w:p>
    <w:p w:rsidR="002D04D7" w:rsidRPr="00A6022F" w:rsidRDefault="002D04D7" w:rsidP="002D04D7">
      <w:pPr>
        <w:spacing w:after="0" w:line="240" w:lineRule="atLeast"/>
        <w:rPr>
          <w:rFonts w:ascii="Times New Roman" w:eastAsia="Times New Roman" w:hAnsi="Times New Roman"/>
          <w:b/>
          <w:sz w:val="24"/>
          <w:szCs w:val="24"/>
        </w:rPr>
      </w:pPr>
    </w:p>
    <w:p w:rsidR="002D04D7" w:rsidRPr="005C5636" w:rsidRDefault="002D04D7" w:rsidP="002D04D7">
      <w:pPr>
        <w:spacing w:before="120" w:after="0" w:line="240" w:lineRule="auto"/>
        <w:jc w:val="both"/>
        <w:rPr>
          <w:rFonts w:ascii="Times New Roman" w:hAnsi="Times New Roman"/>
          <w:sz w:val="24"/>
          <w:szCs w:val="24"/>
        </w:rPr>
      </w:pPr>
      <w:r>
        <w:rPr>
          <w:rFonts w:ascii="Times New Roman" w:hAnsi="Times New Roman"/>
          <w:sz w:val="24"/>
          <w:szCs w:val="24"/>
        </w:rPr>
        <w:t xml:space="preserve">V první řadě je nutno opětovně zdůraznit, že i v minulosti měly ÚSC pojištěny vklady pouze do částky 100 tis. EUR; příjmy nad tuto hodnotu pojištěny nebyly. </w:t>
      </w:r>
      <w:r w:rsidRPr="005C5636">
        <w:rPr>
          <w:rFonts w:ascii="Times New Roman" w:hAnsi="Times New Roman"/>
          <w:sz w:val="24"/>
          <w:szCs w:val="24"/>
        </w:rPr>
        <w:t xml:space="preserve">Podmínky hospodaření (objemy rozpočtů, objemy úspor nebo naopak závazků) jsou u jednotlivých obcí značně rozdílné. Rozhodování o tom, kam finanční prostředky převádět nebo jak je zhodnocovat, tj. jakkoli s nimi nakládat, spadá výhradně do samostatné působnosti obcí. </w:t>
      </w:r>
      <w:r>
        <w:rPr>
          <w:rFonts w:ascii="Times New Roman" w:hAnsi="Times New Roman"/>
          <w:sz w:val="24"/>
          <w:szCs w:val="24"/>
        </w:rPr>
        <w:t xml:space="preserve">Česká legislativa v této oblasti nestanovuje žádná omezení (např. zákaz ukládat prostředky ÚSC do některých finančních institucí) ani neupravuje žádná obezřetnostní pravidla investování tak, jak je tomu např. u penzijních fondů. </w:t>
      </w:r>
      <w:r w:rsidRPr="005C5636">
        <w:rPr>
          <w:rFonts w:ascii="Times New Roman" w:hAnsi="Times New Roman"/>
          <w:sz w:val="24"/>
          <w:szCs w:val="24"/>
        </w:rPr>
        <w:t>Obec si může vybrat z více finančních institucí a více finančních nástrojů</w:t>
      </w:r>
      <w:r>
        <w:rPr>
          <w:rFonts w:ascii="Times New Roman" w:hAnsi="Times New Roman"/>
          <w:sz w:val="24"/>
          <w:szCs w:val="24"/>
        </w:rPr>
        <w:t xml:space="preserve"> na základě svého vlastního uvážení</w:t>
      </w:r>
      <w:r w:rsidRPr="005C5636">
        <w:rPr>
          <w:rFonts w:ascii="Times New Roman" w:hAnsi="Times New Roman"/>
          <w:sz w:val="24"/>
          <w:szCs w:val="24"/>
        </w:rPr>
        <w:t xml:space="preserve">. Jejich volbu by však neměly diktovat prognózy výnosů, ale požadavek na minimalizaci rizik. </w:t>
      </w:r>
    </w:p>
    <w:p w:rsidR="002B65BD" w:rsidRDefault="002B65BD" w:rsidP="00542281">
      <w:pPr>
        <w:spacing w:line="0" w:lineRule="atLeast"/>
        <w:ind w:left="4368"/>
        <w:jc w:val="both"/>
        <w:rPr>
          <w:rFonts w:ascii="Times New Roman" w:hAnsi="Times New Roman"/>
          <w:sz w:val="24"/>
          <w:szCs w:val="24"/>
        </w:rPr>
      </w:pPr>
    </w:p>
    <w:p w:rsidR="002B65BD" w:rsidRDefault="002B65BD" w:rsidP="00542281">
      <w:pPr>
        <w:spacing w:line="0" w:lineRule="atLeast"/>
        <w:ind w:left="4368"/>
        <w:jc w:val="both"/>
        <w:rPr>
          <w:rFonts w:ascii="Times New Roman" w:hAnsi="Times New Roman"/>
          <w:sz w:val="24"/>
          <w:szCs w:val="24"/>
        </w:rPr>
      </w:pPr>
    </w:p>
    <w:p w:rsidR="002D04D7" w:rsidRPr="002B65BD" w:rsidRDefault="002B65BD" w:rsidP="002B65BD">
      <w:pPr>
        <w:pStyle w:val="Odstavecseseznamem"/>
        <w:spacing w:line="0" w:lineRule="atLeast"/>
        <w:ind w:left="0"/>
        <w:jc w:val="center"/>
      </w:pPr>
      <w:r>
        <w:t>*</w:t>
      </w:r>
      <w:r w:rsidR="00542281" w:rsidRPr="002B65BD">
        <w:t xml:space="preserve">  </w:t>
      </w:r>
      <w:r>
        <w:t xml:space="preserve"> </w:t>
      </w:r>
      <w:r w:rsidR="00542281" w:rsidRPr="002B65BD">
        <w:t>*</w:t>
      </w:r>
      <w:r>
        <w:t xml:space="preserve"> </w:t>
      </w:r>
      <w:r w:rsidR="00542281" w:rsidRPr="002B65BD">
        <w:t xml:space="preserve">  *</w:t>
      </w:r>
      <w:r>
        <w:t xml:space="preserve"> </w:t>
      </w:r>
      <w:r w:rsidR="00542281" w:rsidRPr="002B65BD">
        <w:t xml:space="preserve">  * </w:t>
      </w:r>
      <w:r>
        <w:t xml:space="preserve"> </w:t>
      </w:r>
      <w:r w:rsidR="00542281" w:rsidRPr="002B65BD">
        <w:t xml:space="preserve"> *</w:t>
      </w:r>
    </w:p>
    <w:sectPr w:rsidR="002D04D7" w:rsidRPr="002B65BD" w:rsidSect="006B00AC">
      <w:footerReference w:type="default" r:id="rId8"/>
      <w:type w:val="continuous"/>
      <w:pgSz w:w="11907" w:h="16840" w:code="9"/>
      <w:pgMar w:top="1417" w:right="1417" w:bottom="1417" w:left="1417" w:header="964" w:footer="964" w:gutter="0"/>
      <w:cols w:space="708"/>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AB7" w:rsidRDefault="00156AB7">
      <w:r>
        <w:separator/>
      </w:r>
    </w:p>
  </w:endnote>
  <w:endnote w:type="continuationSeparator" w:id="0">
    <w:p w:rsidR="00156AB7" w:rsidRDefault="0015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D84" w:rsidRDefault="005E7D84">
    <w:pPr>
      <w:pStyle w:val="Zpat"/>
    </w:pPr>
    <w:r>
      <w:rPr>
        <w:szCs w:val="18"/>
      </w:rPr>
      <w:sym w:font="Wingdings" w:char="F06C"/>
    </w:r>
    <w:r>
      <w:t xml:space="preserve">  Strana </w:t>
    </w:r>
    <w:r w:rsidR="004558C7">
      <w:fldChar w:fldCharType="begin"/>
    </w:r>
    <w:r w:rsidR="004558C7">
      <w:instrText xml:space="preserve"> PAGE \* ARABIC \* MERGEFORMAT </w:instrText>
    </w:r>
    <w:r w:rsidR="004558C7">
      <w:fldChar w:fldCharType="separate"/>
    </w:r>
    <w:r w:rsidR="00FC0D7E">
      <w:rPr>
        <w:noProof/>
      </w:rPr>
      <w:t>2</w:t>
    </w:r>
    <w:r w:rsidR="004558C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AB7" w:rsidRDefault="00156AB7">
      <w:r>
        <w:separator/>
      </w:r>
    </w:p>
  </w:footnote>
  <w:footnote w:type="continuationSeparator" w:id="0">
    <w:p w:rsidR="00156AB7" w:rsidRDefault="00156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2F94"/>
    <w:multiLevelType w:val="hybridMultilevel"/>
    <w:tmpl w:val="610676C2"/>
    <w:lvl w:ilvl="0" w:tplc="514EB730">
      <w:start w:val="5"/>
      <w:numFmt w:val="bullet"/>
      <w:lvlText w:val=""/>
      <w:lvlJc w:val="left"/>
      <w:pPr>
        <w:ind w:left="4728" w:hanging="360"/>
      </w:pPr>
      <w:rPr>
        <w:rFonts w:ascii="Symbol" w:eastAsia="Calibri" w:hAnsi="Symbol" w:cs="Times New Roman" w:hint="default"/>
      </w:rPr>
    </w:lvl>
    <w:lvl w:ilvl="1" w:tplc="04050003" w:tentative="1">
      <w:start w:val="1"/>
      <w:numFmt w:val="bullet"/>
      <w:lvlText w:val="o"/>
      <w:lvlJc w:val="left"/>
      <w:pPr>
        <w:ind w:left="5448" w:hanging="360"/>
      </w:pPr>
      <w:rPr>
        <w:rFonts w:ascii="Courier New" w:hAnsi="Courier New" w:cs="Courier New" w:hint="default"/>
      </w:rPr>
    </w:lvl>
    <w:lvl w:ilvl="2" w:tplc="04050005" w:tentative="1">
      <w:start w:val="1"/>
      <w:numFmt w:val="bullet"/>
      <w:lvlText w:val=""/>
      <w:lvlJc w:val="left"/>
      <w:pPr>
        <w:ind w:left="6168" w:hanging="360"/>
      </w:pPr>
      <w:rPr>
        <w:rFonts w:ascii="Wingdings" w:hAnsi="Wingdings" w:hint="default"/>
      </w:rPr>
    </w:lvl>
    <w:lvl w:ilvl="3" w:tplc="04050001" w:tentative="1">
      <w:start w:val="1"/>
      <w:numFmt w:val="bullet"/>
      <w:lvlText w:val=""/>
      <w:lvlJc w:val="left"/>
      <w:pPr>
        <w:ind w:left="6888" w:hanging="360"/>
      </w:pPr>
      <w:rPr>
        <w:rFonts w:ascii="Symbol" w:hAnsi="Symbol" w:hint="default"/>
      </w:rPr>
    </w:lvl>
    <w:lvl w:ilvl="4" w:tplc="04050003" w:tentative="1">
      <w:start w:val="1"/>
      <w:numFmt w:val="bullet"/>
      <w:lvlText w:val="o"/>
      <w:lvlJc w:val="left"/>
      <w:pPr>
        <w:ind w:left="7608" w:hanging="360"/>
      </w:pPr>
      <w:rPr>
        <w:rFonts w:ascii="Courier New" w:hAnsi="Courier New" w:cs="Courier New" w:hint="default"/>
      </w:rPr>
    </w:lvl>
    <w:lvl w:ilvl="5" w:tplc="04050005" w:tentative="1">
      <w:start w:val="1"/>
      <w:numFmt w:val="bullet"/>
      <w:lvlText w:val=""/>
      <w:lvlJc w:val="left"/>
      <w:pPr>
        <w:ind w:left="8328" w:hanging="360"/>
      </w:pPr>
      <w:rPr>
        <w:rFonts w:ascii="Wingdings" w:hAnsi="Wingdings" w:hint="default"/>
      </w:rPr>
    </w:lvl>
    <w:lvl w:ilvl="6" w:tplc="04050001" w:tentative="1">
      <w:start w:val="1"/>
      <w:numFmt w:val="bullet"/>
      <w:lvlText w:val=""/>
      <w:lvlJc w:val="left"/>
      <w:pPr>
        <w:ind w:left="9048" w:hanging="360"/>
      </w:pPr>
      <w:rPr>
        <w:rFonts w:ascii="Symbol" w:hAnsi="Symbol" w:hint="default"/>
      </w:rPr>
    </w:lvl>
    <w:lvl w:ilvl="7" w:tplc="04050003" w:tentative="1">
      <w:start w:val="1"/>
      <w:numFmt w:val="bullet"/>
      <w:lvlText w:val="o"/>
      <w:lvlJc w:val="left"/>
      <w:pPr>
        <w:ind w:left="9768" w:hanging="360"/>
      </w:pPr>
      <w:rPr>
        <w:rFonts w:ascii="Courier New" w:hAnsi="Courier New" w:cs="Courier New" w:hint="default"/>
      </w:rPr>
    </w:lvl>
    <w:lvl w:ilvl="8" w:tplc="04050005" w:tentative="1">
      <w:start w:val="1"/>
      <w:numFmt w:val="bullet"/>
      <w:lvlText w:val=""/>
      <w:lvlJc w:val="left"/>
      <w:pPr>
        <w:ind w:left="10488" w:hanging="360"/>
      </w:pPr>
      <w:rPr>
        <w:rFonts w:ascii="Wingdings" w:hAnsi="Wingdings" w:hint="default"/>
      </w:rPr>
    </w:lvl>
  </w:abstractNum>
  <w:abstractNum w:abstractNumId="1" w15:restartNumberingAfterBreak="0">
    <w:nsid w:val="108F0382"/>
    <w:multiLevelType w:val="hybridMultilevel"/>
    <w:tmpl w:val="7C76322C"/>
    <w:lvl w:ilvl="0" w:tplc="30AA6EE4">
      <w:start w:val="5"/>
      <w:numFmt w:val="bullet"/>
      <w:lvlText w:val=""/>
      <w:lvlJc w:val="left"/>
      <w:pPr>
        <w:ind w:left="4728" w:hanging="360"/>
      </w:pPr>
      <w:rPr>
        <w:rFonts w:ascii="Symbol" w:eastAsia="Calibri" w:hAnsi="Symbol" w:cs="Times New Roman" w:hint="default"/>
      </w:rPr>
    </w:lvl>
    <w:lvl w:ilvl="1" w:tplc="04050003" w:tentative="1">
      <w:start w:val="1"/>
      <w:numFmt w:val="bullet"/>
      <w:lvlText w:val="o"/>
      <w:lvlJc w:val="left"/>
      <w:pPr>
        <w:ind w:left="5448" w:hanging="360"/>
      </w:pPr>
      <w:rPr>
        <w:rFonts w:ascii="Courier New" w:hAnsi="Courier New" w:cs="Courier New" w:hint="default"/>
      </w:rPr>
    </w:lvl>
    <w:lvl w:ilvl="2" w:tplc="04050005" w:tentative="1">
      <w:start w:val="1"/>
      <w:numFmt w:val="bullet"/>
      <w:lvlText w:val=""/>
      <w:lvlJc w:val="left"/>
      <w:pPr>
        <w:ind w:left="6168" w:hanging="360"/>
      </w:pPr>
      <w:rPr>
        <w:rFonts w:ascii="Wingdings" w:hAnsi="Wingdings" w:hint="default"/>
      </w:rPr>
    </w:lvl>
    <w:lvl w:ilvl="3" w:tplc="04050001" w:tentative="1">
      <w:start w:val="1"/>
      <w:numFmt w:val="bullet"/>
      <w:lvlText w:val=""/>
      <w:lvlJc w:val="left"/>
      <w:pPr>
        <w:ind w:left="6888" w:hanging="360"/>
      </w:pPr>
      <w:rPr>
        <w:rFonts w:ascii="Symbol" w:hAnsi="Symbol" w:hint="default"/>
      </w:rPr>
    </w:lvl>
    <w:lvl w:ilvl="4" w:tplc="04050003" w:tentative="1">
      <w:start w:val="1"/>
      <w:numFmt w:val="bullet"/>
      <w:lvlText w:val="o"/>
      <w:lvlJc w:val="left"/>
      <w:pPr>
        <w:ind w:left="7608" w:hanging="360"/>
      </w:pPr>
      <w:rPr>
        <w:rFonts w:ascii="Courier New" w:hAnsi="Courier New" w:cs="Courier New" w:hint="default"/>
      </w:rPr>
    </w:lvl>
    <w:lvl w:ilvl="5" w:tplc="04050005" w:tentative="1">
      <w:start w:val="1"/>
      <w:numFmt w:val="bullet"/>
      <w:lvlText w:val=""/>
      <w:lvlJc w:val="left"/>
      <w:pPr>
        <w:ind w:left="8328" w:hanging="360"/>
      </w:pPr>
      <w:rPr>
        <w:rFonts w:ascii="Wingdings" w:hAnsi="Wingdings" w:hint="default"/>
      </w:rPr>
    </w:lvl>
    <w:lvl w:ilvl="6" w:tplc="04050001" w:tentative="1">
      <w:start w:val="1"/>
      <w:numFmt w:val="bullet"/>
      <w:lvlText w:val=""/>
      <w:lvlJc w:val="left"/>
      <w:pPr>
        <w:ind w:left="9048" w:hanging="360"/>
      </w:pPr>
      <w:rPr>
        <w:rFonts w:ascii="Symbol" w:hAnsi="Symbol" w:hint="default"/>
      </w:rPr>
    </w:lvl>
    <w:lvl w:ilvl="7" w:tplc="04050003" w:tentative="1">
      <w:start w:val="1"/>
      <w:numFmt w:val="bullet"/>
      <w:lvlText w:val="o"/>
      <w:lvlJc w:val="left"/>
      <w:pPr>
        <w:ind w:left="9768" w:hanging="360"/>
      </w:pPr>
      <w:rPr>
        <w:rFonts w:ascii="Courier New" w:hAnsi="Courier New" w:cs="Courier New" w:hint="default"/>
      </w:rPr>
    </w:lvl>
    <w:lvl w:ilvl="8" w:tplc="04050005" w:tentative="1">
      <w:start w:val="1"/>
      <w:numFmt w:val="bullet"/>
      <w:lvlText w:val=""/>
      <w:lvlJc w:val="left"/>
      <w:pPr>
        <w:ind w:left="10488" w:hanging="360"/>
      </w:pPr>
      <w:rPr>
        <w:rFonts w:ascii="Wingdings" w:hAnsi="Wingdings" w:hint="default"/>
      </w:rPr>
    </w:lvl>
  </w:abstractNum>
  <w:abstractNum w:abstractNumId="2" w15:restartNumberingAfterBreak="0">
    <w:nsid w:val="17961CFD"/>
    <w:multiLevelType w:val="hybridMultilevel"/>
    <w:tmpl w:val="B674F570"/>
    <w:lvl w:ilvl="0" w:tplc="4CC46BEC">
      <w:start w:val="5"/>
      <w:numFmt w:val="bullet"/>
      <w:lvlText w:val=""/>
      <w:lvlJc w:val="left"/>
      <w:pPr>
        <w:ind w:left="4728" w:hanging="360"/>
      </w:pPr>
      <w:rPr>
        <w:rFonts w:ascii="Symbol" w:eastAsia="Calibri" w:hAnsi="Symbol" w:cs="Times New Roman" w:hint="default"/>
      </w:rPr>
    </w:lvl>
    <w:lvl w:ilvl="1" w:tplc="04050003" w:tentative="1">
      <w:start w:val="1"/>
      <w:numFmt w:val="bullet"/>
      <w:lvlText w:val="o"/>
      <w:lvlJc w:val="left"/>
      <w:pPr>
        <w:ind w:left="5448" w:hanging="360"/>
      </w:pPr>
      <w:rPr>
        <w:rFonts w:ascii="Courier New" w:hAnsi="Courier New" w:cs="Courier New" w:hint="default"/>
      </w:rPr>
    </w:lvl>
    <w:lvl w:ilvl="2" w:tplc="04050005" w:tentative="1">
      <w:start w:val="1"/>
      <w:numFmt w:val="bullet"/>
      <w:lvlText w:val=""/>
      <w:lvlJc w:val="left"/>
      <w:pPr>
        <w:ind w:left="6168" w:hanging="360"/>
      </w:pPr>
      <w:rPr>
        <w:rFonts w:ascii="Wingdings" w:hAnsi="Wingdings" w:hint="default"/>
      </w:rPr>
    </w:lvl>
    <w:lvl w:ilvl="3" w:tplc="04050001" w:tentative="1">
      <w:start w:val="1"/>
      <w:numFmt w:val="bullet"/>
      <w:lvlText w:val=""/>
      <w:lvlJc w:val="left"/>
      <w:pPr>
        <w:ind w:left="6888" w:hanging="360"/>
      </w:pPr>
      <w:rPr>
        <w:rFonts w:ascii="Symbol" w:hAnsi="Symbol" w:hint="default"/>
      </w:rPr>
    </w:lvl>
    <w:lvl w:ilvl="4" w:tplc="04050003" w:tentative="1">
      <w:start w:val="1"/>
      <w:numFmt w:val="bullet"/>
      <w:lvlText w:val="o"/>
      <w:lvlJc w:val="left"/>
      <w:pPr>
        <w:ind w:left="7608" w:hanging="360"/>
      </w:pPr>
      <w:rPr>
        <w:rFonts w:ascii="Courier New" w:hAnsi="Courier New" w:cs="Courier New" w:hint="default"/>
      </w:rPr>
    </w:lvl>
    <w:lvl w:ilvl="5" w:tplc="04050005" w:tentative="1">
      <w:start w:val="1"/>
      <w:numFmt w:val="bullet"/>
      <w:lvlText w:val=""/>
      <w:lvlJc w:val="left"/>
      <w:pPr>
        <w:ind w:left="8328" w:hanging="360"/>
      </w:pPr>
      <w:rPr>
        <w:rFonts w:ascii="Wingdings" w:hAnsi="Wingdings" w:hint="default"/>
      </w:rPr>
    </w:lvl>
    <w:lvl w:ilvl="6" w:tplc="04050001" w:tentative="1">
      <w:start w:val="1"/>
      <w:numFmt w:val="bullet"/>
      <w:lvlText w:val=""/>
      <w:lvlJc w:val="left"/>
      <w:pPr>
        <w:ind w:left="9048" w:hanging="360"/>
      </w:pPr>
      <w:rPr>
        <w:rFonts w:ascii="Symbol" w:hAnsi="Symbol" w:hint="default"/>
      </w:rPr>
    </w:lvl>
    <w:lvl w:ilvl="7" w:tplc="04050003" w:tentative="1">
      <w:start w:val="1"/>
      <w:numFmt w:val="bullet"/>
      <w:lvlText w:val="o"/>
      <w:lvlJc w:val="left"/>
      <w:pPr>
        <w:ind w:left="9768" w:hanging="360"/>
      </w:pPr>
      <w:rPr>
        <w:rFonts w:ascii="Courier New" w:hAnsi="Courier New" w:cs="Courier New" w:hint="default"/>
      </w:rPr>
    </w:lvl>
    <w:lvl w:ilvl="8" w:tplc="04050005" w:tentative="1">
      <w:start w:val="1"/>
      <w:numFmt w:val="bullet"/>
      <w:lvlText w:val=""/>
      <w:lvlJc w:val="left"/>
      <w:pPr>
        <w:ind w:left="10488" w:hanging="360"/>
      </w:pPr>
      <w:rPr>
        <w:rFonts w:ascii="Wingdings" w:hAnsi="Wingdings" w:hint="default"/>
      </w:rPr>
    </w:lvl>
  </w:abstractNum>
  <w:abstractNum w:abstractNumId="3" w15:restartNumberingAfterBreak="0">
    <w:nsid w:val="4DDC41A8"/>
    <w:multiLevelType w:val="hybridMultilevel"/>
    <w:tmpl w:val="2B049DB6"/>
    <w:lvl w:ilvl="0" w:tplc="6EC61ECE">
      <w:start w:val="5"/>
      <w:numFmt w:val="bullet"/>
      <w:lvlText w:val=""/>
      <w:lvlJc w:val="left"/>
      <w:pPr>
        <w:ind w:left="4608" w:hanging="360"/>
      </w:pPr>
      <w:rPr>
        <w:rFonts w:ascii="Symbol" w:eastAsia="Calibri" w:hAnsi="Symbol" w:cs="Times New Roman" w:hint="default"/>
      </w:rPr>
    </w:lvl>
    <w:lvl w:ilvl="1" w:tplc="04050003" w:tentative="1">
      <w:start w:val="1"/>
      <w:numFmt w:val="bullet"/>
      <w:lvlText w:val="o"/>
      <w:lvlJc w:val="left"/>
      <w:pPr>
        <w:ind w:left="5328" w:hanging="360"/>
      </w:pPr>
      <w:rPr>
        <w:rFonts w:ascii="Courier New" w:hAnsi="Courier New" w:cs="Courier New" w:hint="default"/>
      </w:rPr>
    </w:lvl>
    <w:lvl w:ilvl="2" w:tplc="04050005" w:tentative="1">
      <w:start w:val="1"/>
      <w:numFmt w:val="bullet"/>
      <w:lvlText w:val=""/>
      <w:lvlJc w:val="left"/>
      <w:pPr>
        <w:ind w:left="6048" w:hanging="360"/>
      </w:pPr>
      <w:rPr>
        <w:rFonts w:ascii="Wingdings" w:hAnsi="Wingdings" w:hint="default"/>
      </w:rPr>
    </w:lvl>
    <w:lvl w:ilvl="3" w:tplc="04050001" w:tentative="1">
      <w:start w:val="1"/>
      <w:numFmt w:val="bullet"/>
      <w:lvlText w:val=""/>
      <w:lvlJc w:val="left"/>
      <w:pPr>
        <w:ind w:left="6768" w:hanging="360"/>
      </w:pPr>
      <w:rPr>
        <w:rFonts w:ascii="Symbol" w:hAnsi="Symbol" w:hint="default"/>
      </w:rPr>
    </w:lvl>
    <w:lvl w:ilvl="4" w:tplc="04050003" w:tentative="1">
      <w:start w:val="1"/>
      <w:numFmt w:val="bullet"/>
      <w:lvlText w:val="o"/>
      <w:lvlJc w:val="left"/>
      <w:pPr>
        <w:ind w:left="7488" w:hanging="360"/>
      </w:pPr>
      <w:rPr>
        <w:rFonts w:ascii="Courier New" w:hAnsi="Courier New" w:cs="Courier New" w:hint="default"/>
      </w:rPr>
    </w:lvl>
    <w:lvl w:ilvl="5" w:tplc="04050005" w:tentative="1">
      <w:start w:val="1"/>
      <w:numFmt w:val="bullet"/>
      <w:lvlText w:val=""/>
      <w:lvlJc w:val="left"/>
      <w:pPr>
        <w:ind w:left="8208" w:hanging="360"/>
      </w:pPr>
      <w:rPr>
        <w:rFonts w:ascii="Wingdings" w:hAnsi="Wingdings" w:hint="default"/>
      </w:rPr>
    </w:lvl>
    <w:lvl w:ilvl="6" w:tplc="04050001" w:tentative="1">
      <w:start w:val="1"/>
      <w:numFmt w:val="bullet"/>
      <w:lvlText w:val=""/>
      <w:lvlJc w:val="left"/>
      <w:pPr>
        <w:ind w:left="8928" w:hanging="360"/>
      </w:pPr>
      <w:rPr>
        <w:rFonts w:ascii="Symbol" w:hAnsi="Symbol" w:hint="default"/>
      </w:rPr>
    </w:lvl>
    <w:lvl w:ilvl="7" w:tplc="04050003" w:tentative="1">
      <w:start w:val="1"/>
      <w:numFmt w:val="bullet"/>
      <w:lvlText w:val="o"/>
      <w:lvlJc w:val="left"/>
      <w:pPr>
        <w:ind w:left="9648" w:hanging="360"/>
      </w:pPr>
      <w:rPr>
        <w:rFonts w:ascii="Courier New" w:hAnsi="Courier New" w:cs="Courier New" w:hint="default"/>
      </w:rPr>
    </w:lvl>
    <w:lvl w:ilvl="8" w:tplc="04050005" w:tentative="1">
      <w:start w:val="1"/>
      <w:numFmt w:val="bullet"/>
      <w:lvlText w:val=""/>
      <w:lvlJc w:val="left"/>
      <w:pPr>
        <w:ind w:left="10368" w:hanging="360"/>
      </w:pPr>
      <w:rPr>
        <w:rFonts w:ascii="Wingdings" w:hAnsi="Wingdings" w:hint="default"/>
      </w:rPr>
    </w:lvl>
  </w:abstractNum>
  <w:abstractNum w:abstractNumId="4" w15:restartNumberingAfterBreak="0">
    <w:nsid w:val="7F2F0C93"/>
    <w:multiLevelType w:val="hybridMultilevel"/>
    <w:tmpl w:val="A070864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1D2"/>
    <w:rsid w:val="0000134A"/>
    <w:rsid w:val="00036A25"/>
    <w:rsid w:val="000A7608"/>
    <w:rsid w:val="000B7B1E"/>
    <w:rsid w:val="000D0B79"/>
    <w:rsid w:val="001055AD"/>
    <w:rsid w:val="00122082"/>
    <w:rsid w:val="00133A48"/>
    <w:rsid w:val="00135273"/>
    <w:rsid w:val="0013770E"/>
    <w:rsid w:val="00150E5C"/>
    <w:rsid w:val="00156AB7"/>
    <w:rsid w:val="00161580"/>
    <w:rsid w:val="001842A7"/>
    <w:rsid w:val="001920D9"/>
    <w:rsid w:val="001D10F6"/>
    <w:rsid w:val="001E477C"/>
    <w:rsid w:val="00226CB9"/>
    <w:rsid w:val="00245644"/>
    <w:rsid w:val="0028116F"/>
    <w:rsid w:val="0028704D"/>
    <w:rsid w:val="002B65BD"/>
    <w:rsid w:val="002D04D7"/>
    <w:rsid w:val="002E12E7"/>
    <w:rsid w:val="002E40D3"/>
    <w:rsid w:val="002F35CD"/>
    <w:rsid w:val="00304BBB"/>
    <w:rsid w:val="003139C1"/>
    <w:rsid w:val="003141D2"/>
    <w:rsid w:val="003834A8"/>
    <w:rsid w:val="003861B9"/>
    <w:rsid w:val="0039422E"/>
    <w:rsid w:val="003A2F67"/>
    <w:rsid w:val="003B1397"/>
    <w:rsid w:val="003B69C0"/>
    <w:rsid w:val="003C2201"/>
    <w:rsid w:val="003C32C2"/>
    <w:rsid w:val="003F0826"/>
    <w:rsid w:val="003F70D7"/>
    <w:rsid w:val="00405BB4"/>
    <w:rsid w:val="00405C6A"/>
    <w:rsid w:val="004558C7"/>
    <w:rsid w:val="00462D73"/>
    <w:rsid w:val="004666F0"/>
    <w:rsid w:val="004750E7"/>
    <w:rsid w:val="00496FDE"/>
    <w:rsid w:val="004A794E"/>
    <w:rsid w:val="004F073E"/>
    <w:rsid w:val="00511349"/>
    <w:rsid w:val="00520D39"/>
    <w:rsid w:val="005309C5"/>
    <w:rsid w:val="00542281"/>
    <w:rsid w:val="00552909"/>
    <w:rsid w:val="005533E5"/>
    <w:rsid w:val="00587BAC"/>
    <w:rsid w:val="005A25EF"/>
    <w:rsid w:val="005E7D84"/>
    <w:rsid w:val="00625930"/>
    <w:rsid w:val="00663EC4"/>
    <w:rsid w:val="00674AF9"/>
    <w:rsid w:val="006A3C4F"/>
    <w:rsid w:val="006B00AC"/>
    <w:rsid w:val="006D68CA"/>
    <w:rsid w:val="006F24A2"/>
    <w:rsid w:val="00713F3C"/>
    <w:rsid w:val="00727442"/>
    <w:rsid w:val="007500C9"/>
    <w:rsid w:val="00776CC9"/>
    <w:rsid w:val="0078683E"/>
    <w:rsid w:val="007A00F5"/>
    <w:rsid w:val="00810828"/>
    <w:rsid w:val="0082625C"/>
    <w:rsid w:val="00836CD7"/>
    <w:rsid w:val="0085164D"/>
    <w:rsid w:val="00873BF6"/>
    <w:rsid w:val="008B0651"/>
    <w:rsid w:val="008B2080"/>
    <w:rsid w:val="008D7C0B"/>
    <w:rsid w:val="008F04BE"/>
    <w:rsid w:val="00901F97"/>
    <w:rsid w:val="00944CB2"/>
    <w:rsid w:val="00947404"/>
    <w:rsid w:val="00983EC2"/>
    <w:rsid w:val="00A062AE"/>
    <w:rsid w:val="00A13F5A"/>
    <w:rsid w:val="00A173EF"/>
    <w:rsid w:val="00A26460"/>
    <w:rsid w:val="00A76FC8"/>
    <w:rsid w:val="00A8139D"/>
    <w:rsid w:val="00AA5AA1"/>
    <w:rsid w:val="00AE31F7"/>
    <w:rsid w:val="00B0436D"/>
    <w:rsid w:val="00B11E76"/>
    <w:rsid w:val="00B133BC"/>
    <w:rsid w:val="00B16E2B"/>
    <w:rsid w:val="00B172DE"/>
    <w:rsid w:val="00B65605"/>
    <w:rsid w:val="00B65CF4"/>
    <w:rsid w:val="00B9282A"/>
    <w:rsid w:val="00B959CA"/>
    <w:rsid w:val="00C21762"/>
    <w:rsid w:val="00C374BF"/>
    <w:rsid w:val="00C46EAF"/>
    <w:rsid w:val="00C752A4"/>
    <w:rsid w:val="00C8715D"/>
    <w:rsid w:val="00CA63A4"/>
    <w:rsid w:val="00CA7A70"/>
    <w:rsid w:val="00CB1600"/>
    <w:rsid w:val="00D30CA5"/>
    <w:rsid w:val="00D437B6"/>
    <w:rsid w:val="00D45AAC"/>
    <w:rsid w:val="00D565E0"/>
    <w:rsid w:val="00D71B1A"/>
    <w:rsid w:val="00D71DBC"/>
    <w:rsid w:val="00D922DF"/>
    <w:rsid w:val="00DD43C4"/>
    <w:rsid w:val="00E031F4"/>
    <w:rsid w:val="00E04BD2"/>
    <w:rsid w:val="00E07C48"/>
    <w:rsid w:val="00E9039F"/>
    <w:rsid w:val="00EA3AB1"/>
    <w:rsid w:val="00ED7E6F"/>
    <w:rsid w:val="00F0637F"/>
    <w:rsid w:val="00F264CE"/>
    <w:rsid w:val="00F32247"/>
    <w:rsid w:val="00F3356F"/>
    <w:rsid w:val="00F3788D"/>
    <w:rsid w:val="00F46EED"/>
    <w:rsid w:val="00F61D28"/>
    <w:rsid w:val="00F65DEB"/>
    <w:rsid w:val="00F71446"/>
    <w:rsid w:val="00F87082"/>
    <w:rsid w:val="00FA1905"/>
    <w:rsid w:val="00FC0D7E"/>
    <w:rsid w:val="00FC5E94"/>
    <w:rsid w:val="00FC7E82"/>
    <w:rsid w:val="00FF08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4D2EEA4-6C29-40E6-83DF-BEBFAA43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04D7"/>
    <w:pPr>
      <w:spacing w:after="200" w:line="276" w:lineRule="auto"/>
    </w:pPr>
    <w:rPr>
      <w:rFonts w:ascii="Calibri" w:eastAsia="Calibri" w:hAnsi="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Zkladntext"/>
    <w:next w:val="Vnitnadresa"/>
    <w:link w:val="DatumChar"/>
    <w:uiPriority w:val="99"/>
    <w:rsid w:val="008B2080"/>
    <w:pPr>
      <w:spacing w:after="440" w:line="220" w:lineRule="atLeast"/>
      <w:ind w:left="4320"/>
    </w:pPr>
  </w:style>
  <w:style w:type="character" w:customStyle="1" w:styleId="DatumChar">
    <w:name w:val="Datum Char"/>
    <w:basedOn w:val="Standardnpsmoodstavce"/>
    <w:link w:val="Datum"/>
    <w:uiPriority w:val="99"/>
    <w:semiHidden/>
    <w:locked/>
    <w:rsid w:val="00F71446"/>
    <w:rPr>
      <w:rFonts w:cs="Times New Roman"/>
      <w:sz w:val="20"/>
    </w:rPr>
  </w:style>
  <w:style w:type="paragraph" w:customStyle="1" w:styleId="Vnitnadresa">
    <w:name w:val="Vnitřní adresa"/>
    <w:basedOn w:val="Zkladntext"/>
    <w:autoRedefine/>
    <w:uiPriority w:val="99"/>
    <w:rsid w:val="000D0B79"/>
    <w:pPr>
      <w:spacing w:after="0" w:line="220" w:lineRule="atLeast"/>
    </w:pPr>
    <w:rPr>
      <w:spacing w:val="-5"/>
      <w:sz w:val="24"/>
    </w:rPr>
  </w:style>
  <w:style w:type="paragraph" w:styleId="Zpat">
    <w:name w:val="footer"/>
    <w:basedOn w:val="Normln"/>
    <w:link w:val="ZpatChar"/>
    <w:uiPriority w:val="99"/>
    <w:rsid w:val="008B2080"/>
    <w:pPr>
      <w:keepLines/>
      <w:tabs>
        <w:tab w:val="center" w:pos="4320"/>
        <w:tab w:val="right" w:pos="8640"/>
      </w:tabs>
      <w:spacing w:before="600" w:line="220" w:lineRule="atLeast"/>
    </w:pPr>
    <w:rPr>
      <w:rFonts w:ascii="Arial" w:hAnsi="Arial"/>
      <w:spacing w:val="-5"/>
      <w:sz w:val="18"/>
    </w:rPr>
  </w:style>
  <w:style w:type="character" w:customStyle="1" w:styleId="ZpatChar">
    <w:name w:val="Zápatí Char"/>
    <w:basedOn w:val="Standardnpsmoodstavce"/>
    <w:link w:val="Zpat"/>
    <w:uiPriority w:val="99"/>
    <w:locked/>
    <w:rsid w:val="00B9282A"/>
    <w:rPr>
      <w:rFonts w:ascii="Arial" w:hAnsi="Arial" w:cs="Times New Roman"/>
      <w:spacing w:val="-5"/>
      <w:sz w:val="18"/>
    </w:rPr>
  </w:style>
  <w:style w:type="paragraph" w:styleId="Zkladntext">
    <w:name w:val="Body Text"/>
    <w:basedOn w:val="Normln"/>
    <w:link w:val="ZkladntextChar"/>
    <w:uiPriority w:val="99"/>
    <w:rsid w:val="008B2080"/>
    <w:pPr>
      <w:spacing w:after="120"/>
    </w:pPr>
  </w:style>
  <w:style w:type="character" w:customStyle="1" w:styleId="ZkladntextChar">
    <w:name w:val="Základní text Char"/>
    <w:basedOn w:val="Standardnpsmoodstavce"/>
    <w:link w:val="Zkladntext"/>
    <w:uiPriority w:val="99"/>
    <w:semiHidden/>
    <w:locked/>
    <w:rsid w:val="00F71446"/>
    <w:rPr>
      <w:rFonts w:cs="Times New Roman"/>
      <w:sz w:val="20"/>
    </w:rPr>
  </w:style>
  <w:style w:type="paragraph" w:styleId="Zhlav">
    <w:name w:val="header"/>
    <w:basedOn w:val="Normln"/>
    <w:link w:val="ZhlavChar"/>
    <w:uiPriority w:val="99"/>
    <w:rsid w:val="00B9282A"/>
    <w:pPr>
      <w:tabs>
        <w:tab w:val="center" w:pos="4536"/>
        <w:tab w:val="right" w:pos="9072"/>
      </w:tabs>
    </w:pPr>
  </w:style>
  <w:style w:type="character" w:customStyle="1" w:styleId="ZhlavChar">
    <w:name w:val="Záhlaví Char"/>
    <w:basedOn w:val="Standardnpsmoodstavce"/>
    <w:link w:val="Zhlav"/>
    <w:uiPriority w:val="99"/>
    <w:locked/>
    <w:rsid w:val="00B9282A"/>
    <w:rPr>
      <w:rFonts w:cs="Times New Roman"/>
    </w:rPr>
  </w:style>
  <w:style w:type="paragraph" w:styleId="Textbubliny">
    <w:name w:val="Balloon Text"/>
    <w:basedOn w:val="Normln"/>
    <w:link w:val="TextbublinyChar"/>
    <w:uiPriority w:val="99"/>
    <w:rsid w:val="00B9282A"/>
    <w:rPr>
      <w:rFonts w:ascii="Tahoma" w:hAnsi="Tahoma"/>
      <w:sz w:val="16"/>
    </w:rPr>
  </w:style>
  <w:style w:type="character" w:customStyle="1" w:styleId="TextbublinyChar">
    <w:name w:val="Text bubliny Char"/>
    <w:basedOn w:val="Standardnpsmoodstavce"/>
    <w:link w:val="Textbubliny"/>
    <w:uiPriority w:val="99"/>
    <w:locked/>
    <w:rsid w:val="00B9282A"/>
    <w:rPr>
      <w:rFonts w:ascii="Tahoma" w:hAnsi="Tahoma" w:cs="Times New Roman"/>
      <w:sz w:val="16"/>
    </w:rPr>
  </w:style>
  <w:style w:type="character" w:styleId="Hypertextovodkaz">
    <w:name w:val="Hyperlink"/>
    <w:basedOn w:val="Standardnpsmoodstavce"/>
    <w:uiPriority w:val="99"/>
    <w:rsid w:val="00B9282A"/>
    <w:rPr>
      <w:rFonts w:cs="Times New Roman"/>
      <w:color w:val="0000FF"/>
      <w:u w:val="single"/>
    </w:rPr>
  </w:style>
  <w:style w:type="paragraph" w:styleId="Odstavecseseznamem">
    <w:name w:val="List Paragraph"/>
    <w:basedOn w:val="Normln"/>
    <w:uiPriority w:val="34"/>
    <w:qFormat/>
    <w:rsid w:val="002D04D7"/>
    <w:pPr>
      <w:spacing w:after="0" w:line="240" w:lineRule="auto"/>
      <w:ind w:left="720"/>
    </w:pPr>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755522">
      <w:marLeft w:val="0"/>
      <w:marRight w:val="0"/>
      <w:marTop w:val="0"/>
      <w:marBottom w:val="0"/>
      <w:divBdr>
        <w:top w:val="none" w:sz="0" w:space="0" w:color="auto"/>
        <w:left w:val="none" w:sz="0" w:space="0" w:color="auto"/>
        <w:bottom w:val="none" w:sz="0" w:space="0" w:color="auto"/>
        <w:right w:val="none" w:sz="0" w:space="0" w:color="auto"/>
      </w:divBdr>
    </w:div>
    <w:div w:id="401755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nb.cz/cs/faq/jak_jsou_pojisteny_vklady_u_ban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Sablony\&#352;ablony%20MF\Dopis_osobn&#23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Dopis_osobní</Template>
  <TotalTime>1</TotalTime>
  <Pages>2</Pages>
  <Words>862</Words>
  <Characters>5088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Dopis</vt:lpstr>
    </vt:vector>
  </TitlesOfParts>
  <Company>MF - Spisová služba EPD</Company>
  <LinksUpToDate>false</LinksUpToDate>
  <CharactersWithSpaces>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Vejborná Hana Ing.</dc:creator>
  <cp:lastModifiedBy>Chládková Jana</cp:lastModifiedBy>
  <cp:revision>2</cp:revision>
  <cp:lastPrinted>2016-02-15T09:14:00Z</cp:lastPrinted>
  <dcterms:created xsi:type="dcterms:W3CDTF">2016-02-15T09:18:00Z</dcterms:created>
  <dcterms:modified xsi:type="dcterms:W3CDTF">2016-02-15T09:18:00Z</dcterms:modified>
</cp:coreProperties>
</file>