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61A" w:rsidRPr="007A4528" w:rsidRDefault="00BD34FF" w:rsidP="0073661A">
      <w:pPr>
        <w:jc w:val="both"/>
        <w:rPr>
          <w:rFonts w:ascii="Arial" w:hAnsi="Arial" w:cs="Arial"/>
          <w:color w:val="000000"/>
        </w:rPr>
      </w:pPr>
      <w:r w:rsidRPr="00BD34FF">
        <w:rPr>
          <w:rFonts w:ascii="Arial" w:hAnsi="Arial" w:cs="Arial"/>
          <w:noProof/>
          <w:color w:val="000000"/>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alt="SMO ČR - modrá" style="width:62.25pt;height:44.25pt;visibility:visible">
            <v:imagedata r:id="rId5" o:title="SMO ČR - modrá"/>
          </v:shape>
        </w:pict>
      </w:r>
    </w:p>
    <w:p w:rsidR="001D377D" w:rsidRPr="007A4528" w:rsidRDefault="0073661A" w:rsidP="001B0E08">
      <w:pPr>
        <w:spacing w:after="0" w:line="240" w:lineRule="auto"/>
        <w:jc w:val="right"/>
        <w:rPr>
          <w:rFonts w:ascii="Arial" w:hAnsi="Arial" w:cs="Arial"/>
          <w:b/>
          <w:bCs/>
          <w:color w:val="000000"/>
          <w:sz w:val="28"/>
          <w:szCs w:val="28"/>
        </w:rPr>
      </w:pPr>
      <w:r w:rsidRPr="007A4528">
        <w:rPr>
          <w:rFonts w:ascii="Arial" w:hAnsi="Arial" w:cs="Arial"/>
          <w:b/>
          <w:bCs/>
          <w:color w:val="000000"/>
          <w:sz w:val="28"/>
          <w:szCs w:val="28"/>
        </w:rPr>
        <w:t>TISKOVÁ ZPRÁVA</w:t>
      </w:r>
    </w:p>
    <w:p w:rsidR="001D377D" w:rsidRPr="007A4528" w:rsidRDefault="001D377D" w:rsidP="00A147E4">
      <w:pPr>
        <w:spacing w:after="0" w:line="260" w:lineRule="atLeast"/>
        <w:rPr>
          <w:rFonts w:ascii="Arial" w:hAnsi="Arial" w:cs="Arial"/>
          <w:b/>
          <w:bCs/>
          <w:color w:val="000000"/>
          <w:sz w:val="24"/>
          <w:szCs w:val="24"/>
        </w:rPr>
      </w:pPr>
    </w:p>
    <w:p w:rsidR="00902318" w:rsidRDefault="00EB47BD" w:rsidP="00902318">
      <w:pPr>
        <w:spacing w:after="0" w:line="260" w:lineRule="atLeast"/>
        <w:outlineLvl w:val="0"/>
      </w:pPr>
      <w:r>
        <w:rPr>
          <w:rFonts w:ascii="Arial" w:hAnsi="Arial" w:cs="Arial"/>
          <w:b/>
          <w:bCs/>
          <w:color w:val="1F497D"/>
        </w:rPr>
        <w:t>O financování měst a obcí jednalo předsednictvo Svazu s ministrem financí</w:t>
      </w:r>
    </w:p>
    <w:p w:rsidR="00902318" w:rsidRPr="001B0CC3" w:rsidRDefault="00902318" w:rsidP="00902318">
      <w:pPr>
        <w:spacing w:after="0" w:line="260" w:lineRule="atLeast"/>
        <w:outlineLvl w:val="0"/>
      </w:pPr>
      <w:r>
        <w:rPr>
          <w:rFonts w:ascii="Arial" w:hAnsi="Arial" w:cs="Arial"/>
          <w:b/>
          <w:bCs/>
          <w:color w:val="000000"/>
          <w:sz w:val="20"/>
          <w:szCs w:val="20"/>
        </w:rPr>
        <w:t>Praha, 1. 4</w:t>
      </w:r>
      <w:r w:rsidRPr="001B0CC3">
        <w:rPr>
          <w:rFonts w:ascii="Arial" w:hAnsi="Arial" w:cs="Arial"/>
          <w:b/>
          <w:bCs/>
          <w:color w:val="000000"/>
          <w:sz w:val="20"/>
          <w:szCs w:val="20"/>
        </w:rPr>
        <w:t>. 2014</w:t>
      </w:r>
    </w:p>
    <w:p w:rsidR="00902318" w:rsidRPr="001B0CC3" w:rsidRDefault="00902318" w:rsidP="00902318">
      <w:pPr>
        <w:spacing w:after="0" w:line="260" w:lineRule="atLeast"/>
        <w:jc w:val="both"/>
      </w:pPr>
    </w:p>
    <w:p w:rsidR="00902318" w:rsidRPr="00DD7360" w:rsidRDefault="00EB47BD" w:rsidP="00902318">
      <w:pPr>
        <w:spacing w:after="0" w:line="260" w:lineRule="atLeast"/>
        <w:jc w:val="both"/>
        <w:rPr>
          <w:color w:val="000000" w:themeColor="text1"/>
        </w:rPr>
      </w:pPr>
      <w:r>
        <w:rPr>
          <w:rFonts w:ascii="Arial" w:hAnsi="Arial" w:cs="Arial"/>
          <w:b/>
          <w:bCs/>
          <w:color w:val="000000" w:themeColor="text1"/>
          <w:sz w:val="20"/>
          <w:szCs w:val="20"/>
        </w:rPr>
        <w:t>N</w:t>
      </w:r>
      <w:r w:rsidR="00902318" w:rsidRPr="00DD7360">
        <w:rPr>
          <w:rFonts w:ascii="Arial" w:hAnsi="Arial" w:cs="Arial"/>
          <w:b/>
          <w:bCs/>
          <w:color w:val="000000" w:themeColor="text1"/>
          <w:sz w:val="20"/>
          <w:szCs w:val="20"/>
        </w:rPr>
        <w:t>avýšení peněz pro města a obce včetně výkaznictví a vedení účetnictví</w:t>
      </w:r>
      <w:r>
        <w:rPr>
          <w:rFonts w:ascii="Arial" w:hAnsi="Arial" w:cs="Arial"/>
          <w:b/>
          <w:bCs/>
          <w:color w:val="000000" w:themeColor="text1"/>
          <w:sz w:val="20"/>
          <w:szCs w:val="20"/>
        </w:rPr>
        <w:t xml:space="preserve">. To byla mimo jiné témata prvního jednání </w:t>
      </w:r>
      <w:r w:rsidR="00902318" w:rsidRPr="00DD7360">
        <w:rPr>
          <w:rFonts w:ascii="Arial" w:hAnsi="Arial" w:cs="Arial"/>
          <w:b/>
          <w:bCs/>
          <w:color w:val="000000" w:themeColor="text1"/>
          <w:sz w:val="20"/>
          <w:szCs w:val="20"/>
        </w:rPr>
        <w:t>ministr</w:t>
      </w:r>
      <w:r>
        <w:rPr>
          <w:rFonts w:ascii="Arial" w:hAnsi="Arial" w:cs="Arial"/>
          <w:b/>
          <w:bCs/>
          <w:color w:val="000000" w:themeColor="text1"/>
          <w:sz w:val="20"/>
          <w:szCs w:val="20"/>
        </w:rPr>
        <w:t>a</w:t>
      </w:r>
      <w:r w:rsidR="00902318" w:rsidRPr="00DD7360">
        <w:rPr>
          <w:rFonts w:ascii="Arial" w:hAnsi="Arial" w:cs="Arial"/>
          <w:b/>
          <w:bCs/>
          <w:color w:val="000000" w:themeColor="text1"/>
          <w:sz w:val="20"/>
          <w:szCs w:val="20"/>
        </w:rPr>
        <w:t xml:space="preserve"> financí Andrej</w:t>
      </w:r>
      <w:r>
        <w:rPr>
          <w:rFonts w:ascii="Arial" w:hAnsi="Arial" w:cs="Arial"/>
          <w:b/>
          <w:bCs/>
          <w:color w:val="000000" w:themeColor="text1"/>
          <w:sz w:val="20"/>
          <w:szCs w:val="20"/>
        </w:rPr>
        <w:t>e</w:t>
      </w:r>
      <w:r w:rsidR="00902318" w:rsidRPr="00DD7360">
        <w:rPr>
          <w:rFonts w:ascii="Arial" w:hAnsi="Arial" w:cs="Arial"/>
          <w:b/>
          <w:bCs/>
          <w:color w:val="000000" w:themeColor="text1"/>
          <w:sz w:val="20"/>
          <w:szCs w:val="20"/>
        </w:rPr>
        <w:t xml:space="preserve"> </w:t>
      </w:r>
      <w:proofErr w:type="spellStart"/>
      <w:r w:rsidR="00902318" w:rsidRPr="00DD7360">
        <w:rPr>
          <w:rFonts w:ascii="Arial" w:hAnsi="Arial" w:cs="Arial"/>
          <w:b/>
          <w:bCs/>
          <w:color w:val="000000" w:themeColor="text1"/>
          <w:sz w:val="20"/>
          <w:szCs w:val="20"/>
        </w:rPr>
        <w:t>Babiš</w:t>
      </w:r>
      <w:r>
        <w:rPr>
          <w:rFonts w:ascii="Arial" w:hAnsi="Arial" w:cs="Arial"/>
          <w:b/>
          <w:bCs/>
          <w:color w:val="000000" w:themeColor="text1"/>
          <w:sz w:val="20"/>
          <w:szCs w:val="20"/>
        </w:rPr>
        <w:t>e</w:t>
      </w:r>
      <w:proofErr w:type="spellEnd"/>
      <w:r w:rsidR="00902318" w:rsidRPr="00DD7360">
        <w:rPr>
          <w:rFonts w:ascii="Arial" w:hAnsi="Arial" w:cs="Arial"/>
          <w:b/>
          <w:bCs/>
          <w:color w:val="000000" w:themeColor="text1"/>
          <w:sz w:val="20"/>
          <w:szCs w:val="20"/>
        </w:rPr>
        <w:t xml:space="preserve"> s předsednictvem Svazu měst a obcí České republiky. </w:t>
      </w:r>
      <w:r>
        <w:rPr>
          <w:rFonts w:ascii="Arial" w:hAnsi="Arial" w:cs="Arial"/>
          <w:b/>
          <w:bCs/>
          <w:color w:val="000000" w:themeColor="text1"/>
          <w:sz w:val="20"/>
          <w:szCs w:val="20"/>
        </w:rPr>
        <w:t>Debatovali například o</w:t>
      </w:r>
      <w:r w:rsidR="00902318" w:rsidRPr="00DD7360">
        <w:rPr>
          <w:rFonts w:ascii="Arial" w:hAnsi="Arial" w:cs="Arial"/>
          <w:b/>
          <w:bCs/>
          <w:color w:val="000000" w:themeColor="text1"/>
          <w:sz w:val="20"/>
          <w:szCs w:val="20"/>
        </w:rPr>
        <w:t xml:space="preserve"> příspěvk</w:t>
      </w:r>
      <w:r>
        <w:rPr>
          <w:rFonts w:ascii="Arial" w:hAnsi="Arial" w:cs="Arial"/>
          <w:b/>
          <w:bCs/>
          <w:color w:val="000000" w:themeColor="text1"/>
          <w:sz w:val="20"/>
          <w:szCs w:val="20"/>
        </w:rPr>
        <w:t>u</w:t>
      </w:r>
      <w:r w:rsidR="00902318" w:rsidRPr="00DD7360">
        <w:rPr>
          <w:rFonts w:ascii="Arial" w:hAnsi="Arial" w:cs="Arial"/>
          <w:b/>
          <w:bCs/>
          <w:color w:val="000000" w:themeColor="text1"/>
          <w:sz w:val="20"/>
          <w:szCs w:val="20"/>
        </w:rPr>
        <w:t xml:space="preserve"> na výkon státní správy, který nebyl několik let valorizován</w:t>
      </w:r>
      <w:r w:rsidR="00077A55">
        <w:rPr>
          <w:rFonts w:ascii="Arial" w:hAnsi="Arial" w:cs="Arial"/>
          <w:b/>
          <w:bCs/>
          <w:color w:val="000000" w:themeColor="text1"/>
          <w:sz w:val="20"/>
          <w:szCs w:val="20"/>
        </w:rPr>
        <w:t xml:space="preserve"> či o </w:t>
      </w:r>
      <w:r w:rsidR="00902318" w:rsidRPr="00DD7360">
        <w:rPr>
          <w:rFonts w:ascii="Arial" w:hAnsi="Arial" w:cs="Arial"/>
          <w:b/>
          <w:bCs/>
          <w:color w:val="000000" w:themeColor="text1"/>
          <w:sz w:val="20"/>
          <w:szCs w:val="20"/>
        </w:rPr>
        <w:t>rozpočtov</w:t>
      </w:r>
      <w:r w:rsidR="00077A55">
        <w:rPr>
          <w:rFonts w:ascii="Arial" w:hAnsi="Arial" w:cs="Arial"/>
          <w:b/>
          <w:bCs/>
          <w:color w:val="000000" w:themeColor="text1"/>
          <w:sz w:val="20"/>
          <w:szCs w:val="20"/>
        </w:rPr>
        <w:t>ém</w:t>
      </w:r>
      <w:r w:rsidR="00902318" w:rsidRPr="00DD7360">
        <w:rPr>
          <w:rFonts w:ascii="Arial" w:hAnsi="Arial" w:cs="Arial"/>
          <w:b/>
          <w:bCs/>
          <w:color w:val="000000" w:themeColor="text1"/>
          <w:sz w:val="20"/>
          <w:szCs w:val="20"/>
        </w:rPr>
        <w:t xml:space="preserve"> určení daní (RUD). K tzv. </w:t>
      </w:r>
      <w:proofErr w:type="gramStart"/>
      <w:r w:rsidR="00902318" w:rsidRPr="00DD7360">
        <w:rPr>
          <w:rFonts w:ascii="Arial" w:hAnsi="Arial" w:cs="Arial"/>
          <w:b/>
          <w:bCs/>
          <w:color w:val="000000" w:themeColor="text1"/>
          <w:sz w:val="20"/>
          <w:szCs w:val="20"/>
        </w:rPr>
        <w:t>RUD</w:t>
      </w:r>
      <w:proofErr w:type="gramEnd"/>
      <w:r w:rsidR="00902318" w:rsidRPr="00DD7360">
        <w:rPr>
          <w:rFonts w:ascii="Arial" w:hAnsi="Arial" w:cs="Arial"/>
          <w:b/>
          <w:bCs/>
          <w:color w:val="000000" w:themeColor="text1"/>
          <w:sz w:val="20"/>
          <w:szCs w:val="20"/>
        </w:rPr>
        <w:t xml:space="preserve"> bude obnovena činnost pracovní skupiny, jejími členy budou i zástupci Svazu měst a obcí ČR. </w:t>
      </w:r>
    </w:p>
    <w:p w:rsidR="00902318" w:rsidRDefault="00902318" w:rsidP="00902318">
      <w:pPr>
        <w:spacing w:after="0" w:line="260" w:lineRule="atLeast"/>
        <w:jc w:val="both"/>
        <w:rPr>
          <w:rFonts w:ascii="Arial" w:hAnsi="Arial" w:cs="Arial"/>
          <w:i/>
          <w:iCs/>
          <w:color w:val="000000" w:themeColor="text1"/>
          <w:sz w:val="20"/>
          <w:szCs w:val="20"/>
        </w:rPr>
      </w:pPr>
    </w:p>
    <w:p w:rsidR="00902318" w:rsidRPr="00DD7360" w:rsidRDefault="00902318" w:rsidP="00902318">
      <w:pPr>
        <w:spacing w:after="0" w:line="260" w:lineRule="atLeast"/>
        <w:jc w:val="both"/>
        <w:rPr>
          <w:color w:val="000000" w:themeColor="text1"/>
        </w:rPr>
      </w:pPr>
      <w:r w:rsidRPr="00077A55">
        <w:rPr>
          <w:rFonts w:ascii="Arial" w:hAnsi="Arial" w:cs="Arial"/>
          <w:iCs/>
          <w:color w:val="000000" w:themeColor="text1"/>
          <w:sz w:val="20"/>
          <w:szCs w:val="20"/>
        </w:rPr>
        <w:t>Zájmem ministerstva financí je účelné, efektivní a hospodárné rozpočtování a čerpání státních peněz</w:t>
      </w:r>
      <w:r w:rsidR="00077A55" w:rsidRPr="00077A55">
        <w:rPr>
          <w:rFonts w:ascii="Arial" w:hAnsi="Arial" w:cs="Arial"/>
          <w:iCs/>
          <w:color w:val="000000" w:themeColor="text1"/>
          <w:sz w:val="20"/>
          <w:szCs w:val="20"/>
        </w:rPr>
        <w:t>.</w:t>
      </w:r>
      <w:r w:rsidRPr="00077A55">
        <w:rPr>
          <w:rFonts w:ascii="Arial" w:hAnsi="Arial" w:cs="Arial"/>
          <w:color w:val="000000" w:themeColor="text1"/>
          <w:sz w:val="20"/>
          <w:szCs w:val="20"/>
        </w:rPr>
        <w:t xml:space="preserve"> </w:t>
      </w:r>
      <w:r w:rsidRPr="00077A55">
        <w:rPr>
          <w:rFonts w:ascii="Arial" w:hAnsi="Arial" w:cs="Arial"/>
          <w:iCs/>
          <w:color w:val="000000" w:themeColor="text1"/>
          <w:sz w:val="20"/>
          <w:szCs w:val="20"/>
        </w:rPr>
        <w:t xml:space="preserve">Týká se to samozřejmě také financování veřejné správy, pro kterou se – stejně jako pro ostatní subjekty financované z veřejných rozpočtů </w:t>
      </w:r>
      <w:r w:rsidR="00077A55" w:rsidRPr="00077A55">
        <w:rPr>
          <w:rFonts w:ascii="Arial" w:hAnsi="Arial" w:cs="Arial"/>
          <w:iCs/>
          <w:color w:val="000000" w:themeColor="text1"/>
          <w:sz w:val="20"/>
          <w:szCs w:val="20"/>
        </w:rPr>
        <w:t>–</w:t>
      </w:r>
      <w:r w:rsidRPr="00077A55">
        <w:rPr>
          <w:rFonts w:ascii="Arial" w:hAnsi="Arial" w:cs="Arial"/>
          <w:iCs/>
          <w:color w:val="000000" w:themeColor="text1"/>
          <w:sz w:val="20"/>
          <w:szCs w:val="20"/>
        </w:rPr>
        <w:t xml:space="preserve"> </w:t>
      </w:r>
      <w:r w:rsidR="00077A55" w:rsidRPr="00077A55">
        <w:rPr>
          <w:rFonts w:ascii="Arial" w:hAnsi="Arial" w:cs="Arial"/>
          <w:iCs/>
          <w:color w:val="000000" w:themeColor="text1"/>
          <w:sz w:val="20"/>
          <w:szCs w:val="20"/>
        </w:rPr>
        <w:t xml:space="preserve">se resort </w:t>
      </w:r>
      <w:r w:rsidRPr="00077A55">
        <w:rPr>
          <w:rFonts w:ascii="Arial" w:hAnsi="Arial" w:cs="Arial"/>
          <w:iCs/>
          <w:color w:val="000000" w:themeColor="text1"/>
          <w:sz w:val="20"/>
          <w:szCs w:val="20"/>
        </w:rPr>
        <w:t>snaží zajistit peníze i ze zahraničních zdrojů. Nedávno se tak podařilo například získat nejvyšší možný grant - cca 412 milionů korun - z Fondu solidarity Evropské unie na financování škod způsobených povodněmi v červnu 2013.</w:t>
      </w:r>
      <w:r w:rsidR="00B97801">
        <w:rPr>
          <w:color w:val="000000" w:themeColor="text1"/>
        </w:rPr>
        <w:t xml:space="preserve"> </w:t>
      </w:r>
      <w:r w:rsidRPr="00DD7360">
        <w:rPr>
          <w:rFonts w:ascii="Arial" w:hAnsi="Arial" w:cs="Arial"/>
          <w:color w:val="000000" w:themeColor="text1"/>
          <w:sz w:val="20"/>
          <w:szCs w:val="20"/>
        </w:rPr>
        <w:t>Tyto evropské dotace budou sloužit na úhradu bezprostředních škod, které způsobily loňské povodně v Jihočeském, Plzeňském, Středočeském, Královéhradeckém, Ústeckém a Libereckém kraji i v Praze.</w:t>
      </w:r>
    </w:p>
    <w:p w:rsidR="00B97801" w:rsidRDefault="00B97801" w:rsidP="00902318">
      <w:pPr>
        <w:spacing w:after="0" w:line="260" w:lineRule="atLeast"/>
        <w:jc w:val="both"/>
        <w:rPr>
          <w:rFonts w:ascii="Arial" w:hAnsi="Arial" w:cs="Arial"/>
          <w:i/>
          <w:iCs/>
          <w:color w:val="000000" w:themeColor="text1"/>
          <w:sz w:val="20"/>
          <w:szCs w:val="20"/>
        </w:rPr>
      </w:pPr>
    </w:p>
    <w:p w:rsidR="00902318" w:rsidRPr="00DD7360" w:rsidRDefault="00902318" w:rsidP="00902318">
      <w:pPr>
        <w:spacing w:after="0" w:line="260" w:lineRule="atLeast"/>
        <w:jc w:val="both"/>
        <w:rPr>
          <w:color w:val="000000" w:themeColor="text1"/>
        </w:rPr>
      </w:pPr>
      <w:r w:rsidRPr="00DD7360">
        <w:rPr>
          <w:rFonts w:ascii="Arial" w:hAnsi="Arial" w:cs="Arial"/>
          <w:i/>
          <w:iCs/>
          <w:color w:val="000000" w:themeColor="text1"/>
          <w:sz w:val="20"/>
          <w:szCs w:val="20"/>
        </w:rPr>
        <w:t>„Pro města a obce je samozřejmě zásadní průběžné a plynulé financování, které pokryje jejich oprávněné potřeby a požadavky“,</w:t>
      </w:r>
      <w:r w:rsidRPr="00DD7360">
        <w:rPr>
          <w:rFonts w:ascii="Arial" w:hAnsi="Arial" w:cs="Arial"/>
          <w:color w:val="000000" w:themeColor="text1"/>
          <w:sz w:val="20"/>
          <w:szCs w:val="20"/>
        </w:rPr>
        <w:t xml:space="preserve"> říká </w:t>
      </w:r>
      <w:r w:rsidRPr="00DD7360">
        <w:rPr>
          <w:rFonts w:ascii="Arial" w:hAnsi="Arial" w:cs="Arial"/>
          <w:b/>
          <w:bCs/>
          <w:color w:val="000000" w:themeColor="text1"/>
          <w:sz w:val="20"/>
          <w:szCs w:val="20"/>
        </w:rPr>
        <w:t>předseda Svazu měst a obcí ČR Dan Jiránek</w:t>
      </w:r>
      <w:r w:rsidRPr="00DD7360">
        <w:rPr>
          <w:rFonts w:ascii="Arial" w:hAnsi="Arial" w:cs="Arial"/>
          <w:color w:val="000000" w:themeColor="text1"/>
          <w:sz w:val="20"/>
          <w:szCs w:val="20"/>
        </w:rPr>
        <w:t xml:space="preserve"> a dodává: </w:t>
      </w:r>
      <w:r w:rsidRPr="00DD7360">
        <w:rPr>
          <w:rFonts w:ascii="Arial" w:hAnsi="Arial" w:cs="Arial"/>
          <w:i/>
          <w:iCs/>
          <w:color w:val="000000" w:themeColor="text1"/>
          <w:sz w:val="20"/>
          <w:szCs w:val="20"/>
        </w:rPr>
        <w:t>„Proto chceme být od samého počátku u případné změny zákona č. 243/2000 Sb., o rozpočtovém určení dani. Dá se čekat, že kraje budou chtít ze sdílených daní víc peněz, stejně jako města a obce potřebují valorizovat příspěvek na výkon státní správy. Už několik let je stejný a řada zejména velkých měst tak musí výkon služby státní správy v přenesené působnosti doplácet ze svého rozpočtu.“</w:t>
      </w:r>
      <w:r w:rsidRPr="00DD7360">
        <w:rPr>
          <w:rFonts w:ascii="Arial" w:hAnsi="Arial" w:cs="Arial"/>
          <w:color w:val="000000" w:themeColor="text1"/>
          <w:sz w:val="20"/>
          <w:szCs w:val="20"/>
        </w:rPr>
        <w:t xml:space="preserve"> </w:t>
      </w:r>
    </w:p>
    <w:p w:rsidR="00902318" w:rsidRDefault="00902318" w:rsidP="00902318">
      <w:pPr>
        <w:spacing w:after="0" w:line="260" w:lineRule="atLeast"/>
        <w:jc w:val="both"/>
        <w:rPr>
          <w:rFonts w:ascii="Arial" w:hAnsi="Arial" w:cs="Arial"/>
          <w:color w:val="000000" w:themeColor="text1"/>
          <w:sz w:val="20"/>
          <w:szCs w:val="20"/>
        </w:rPr>
      </w:pPr>
    </w:p>
    <w:p w:rsidR="00902318" w:rsidRPr="00DD7360" w:rsidRDefault="00902318" w:rsidP="00902318">
      <w:pPr>
        <w:spacing w:after="0" w:line="260" w:lineRule="atLeast"/>
        <w:jc w:val="both"/>
        <w:rPr>
          <w:color w:val="000000" w:themeColor="text1"/>
        </w:rPr>
      </w:pPr>
      <w:r w:rsidRPr="00DD7360">
        <w:rPr>
          <w:rFonts w:ascii="Arial" w:hAnsi="Arial" w:cs="Arial"/>
          <w:color w:val="000000" w:themeColor="text1"/>
          <w:sz w:val="20"/>
          <w:szCs w:val="20"/>
        </w:rPr>
        <w:t xml:space="preserve">Podle Svazu jde o dlouhodobě neudržitelný stav, proto požadují, aby se příspěvek na výkon státní správy pravidelně zvyšoval alespoň podle inflace. Rostou totiž ceny vstupů, například energií. Rovněž je třeba provést důkladnou analýzu financování přenesené působnosti u měst a obcí podle velikosti tak, aby bylo jasně vidět, kdo a kolik musí na poskytování služeb státu doplácet. Například u Českých Budějovic v roce 2012 vzniklo saldo 86 milionů korun. Některé činnosti, které za stát v přenesené působnosti vykonávají měst a obce, navíc nejsou v příspěvku v současné době vůbec zohledněny – třeba veřejné opatrovnictví. </w:t>
      </w:r>
    </w:p>
    <w:p w:rsidR="00902318" w:rsidRDefault="00902318" w:rsidP="00902318">
      <w:pPr>
        <w:spacing w:after="0" w:line="260" w:lineRule="atLeast"/>
        <w:jc w:val="both"/>
        <w:rPr>
          <w:rFonts w:ascii="Arial" w:hAnsi="Arial" w:cs="Arial"/>
          <w:i/>
          <w:iCs/>
          <w:color w:val="000000" w:themeColor="text1"/>
          <w:sz w:val="20"/>
          <w:szCs w:val="20"/>
        </w:rPr>
      </w:pPr>
    </w:p>
    <w:p w:rsidR="00902318" w:rsidRPr="00DD7360" w:rsidRDefault="00902318" w:rsidP="00902318">
      <w:pPr>
        <w:spacing w:after="0" w:line="260" w:lineRule="atLeast"/>
        <w:jc w:val="both"/>
        <w:rPr>
          <w:color w:val="000000" w:themeColor="text1"/>
        </w:rPr>
      </w:pPr>
      <w:r w:rsidRPr="00DD7360">
        <w:rPr>
          <w:rFonts w:ascii="Arial" w:hAnsi="Arial" w:cs="Arial"/>
          <w:i/>
          <w:iCs/>
          <w:color w:val="000000" w:themeColor="text1"/>
          <w:sz w:val="20"/>
          <w:szCs w:val="20"/>
        </w:rPr>
        <w:t>„Města a obce by ocenila také větší srozumitelnost, delší připomínková řízení a včasné vydávání právních předpisů“,</w:t>
      </w:r>
      <w:r w:rsidRPr="00DD7360">
        <w:rPr>
          <w:rFonts w:ascii="Arial" w:hAnsi="Arial" w:cs="Arial"/>
          <w:color w:val="000000" w:themeColor="text1"/>
          <w:sz w:val="20"/>
          <w:szCs w:val="20"/>
        </w:rPr>
        <w:t xml:space="preserve"> říká </w:t>
      </w:r>
      <w:r w:rsidRPr="00DD7360">
        <w:rPr>
          <w:rFonts w:ascii="Arial" w:hAnsi="Arial" w:cs="Arial"/>
          <w:b/>
          <w:bCs/>
          <w:color w:val="000000" w:themeColor="text1"/>
          <w:sz w:val="20"/>
          <w:szCs w:val="20"/>
        </w:rPr>
        <w:t>předseda Svazu měst a obcí ČR Dan Jiránek</w:t>
      </w:r>
      <w:r w:rsidRPr="00DD7360">
        <w:rPr>
          <w:rFonts w:ascii="Arial" w:hAnsi="Arial" w:cs="Arial"/>
          <w:color w:val="000000" w:themeColor="text1"/>
          <w:sz w:val="20"/>
          <w:szCs w:val="20"/>
        </w:rPr>
        <w:t xml:space="preserve"> a dodává: </w:t>
      </w:r>
      <w:r w:rsidRPr="00DD7360">
        <w:rPr>
          <w:rFonts w:ascii="Arial" w:hAnsi="Arial" w:cs="Arial"/>
          <w:i/>
          <w:iCs/>
          <w:color w:val="000000" w:themeColor="text1"/>
          <w:sz w:val="20"/>
          <w:szCs w:val="20"/>
        </w:rPr>
        <w:t>„Třeba legislativa týkající se účetnictví dnes není příliš provázaná s daňovou oblastí či pravidly pro kontrolu veřejných financí, což zvyšuje riziko sankcí pro města a obce. Roste také byrokracie, sbírá se čím dál tím víc dat, aniž by bylo příliš jasné, k čemu slouží.“</w:t>
      </w:r>
    </w:p>
    <w:p w:rsidR="00902318" w:rsidRDefault="00902318" w:rsidP="00902318">
      <w:pPr>
        <w:spacing w:after="0" w:line="260" w:lineRule="atLeast"/>
        <w:jc w:val="both"/>
        <w:rPr>
          <w:rFonts w:ascii="Arial" w:hAnsi="Arial" w:cs="Arial"/>
          <w:color w:val="000000" w:themeColor="text1"/>
          <w:sz w:val="20"/>
          <w:szCs w:val="20"/>
        </w:rPr>
      </w:pPr>
    </w:p>
    <w:p w:rsidR="00902318" w:rsidRPr="00DD7360" w:rsidRDefault="00902318" w:rsidP="00902318">
      <w:pPr>
        <w:spacing w:after="0" w:line="260" w:lineRule="atLeast"/>
        <w:jc w:val="both"/>
        <w:rPr>
          <w:color w:val="000000" w:themeColor="text1"/>
        </w:rPr>
      </w:pPr>
      <w:r w:rsidRPr="00DD7360">
        <w:rPr>
          <w:rFonts w:ascii="Arial" w:hAnsi="Arial" w:cs="Arial"/>
          <w:color w:val="000000" w:themeColor="text1"/>
          <w:sz w:val="20"/>
          <w:szCs w:val="20"/>
        </w:rPr>
        <w:t xml:space="preserve">Například existuje tzv. PAP - Pomocný analytický přehled. Města a obce v České republice ho musí pravidelně sestavovat, aniž by měly zpětnou vazbu, zda a jak se s takto získanými daty dále nakládá. Vše znamená další administrativní zátěž, PAP přitom nemá jinde v zemích Evropské unie, snad kromě Estonska, obdoby. </w:t>
      </w:r>
    </w:p>
    <w:p w:rsidR="00902318" w:rsidRDefault="00902318" w:rsidP="00902318">
      <w:pPr>
        <w:spacing w:after="0" w:line="260" w:lineRule="atLeast"/>
        <w:jc w:val="both"/>
        <w:rPr>
          <w:rFonts w:ascii="Arial" w:hAnsi="Arial" w:cs="Arial"/>
          <w:color w:val="000000" w:themeColor="text1"/>
          <w:sz w:val="20"/>
          <w:szCs w:val="20"/>
        </w:rPr>
      </w:pPr>
    </w:p>
    <w:p w:rsidR="00902318" w:rsidRPr="00DD7360" w:rsidRDefault="00902318" w:rsidP="00902318">
      <w:pPr>
        <w:spacing w:after="0" w:line="260" w:lineRule="atLeast"/>
        <w:jc w:val="both"/>
        <w:rPr>
          <w:color w:val="000000" w:themeColor="text1"/>
        </w:rPr>
      </w:pPr>
      <w:r w:rsidRPr="00DD7360">
        <w:rPr>
          <w:rFonts w:ascii="Arial" w:hAnsi="Arial" w:cs="Arial"/>
          <w:color w:val="000000" w:themeColor="text1"/>
          <w:sz w:val="20"/>
          <w:szCs w:val="20"/>
        </w:rPr>
        <w:t xml:space="preserve">PAP se naštěstí netýká obcí do 3 000 obyvatel, které by se svými personálními možnostmi vůbec neměly šanci výkaz zvládnout. Komora obcí požaduje, aby obdobně byly tyto malé obce vyjmuty také z Konsolidační vyhlášky. Peníze, s kterými hospodaří, totiž tvoří zlomek finančních prostředků státního </w:t>
      </w:r>
      <w:r w:rsidRPr="00DD7360">
        <w:rPr>
          <w:rFonts w:ascii="Arial" w:hAnsi="Arial" w:cs="Arial"/>
          <w:color w:val="000000" w:themeColor="text1"/>
          <w:sz w:val="20"/>
          <w:szCs w:val="20"/>
        </w:rPr>
        <w:lastRenderedPageBreak/>
        <w:t xml:space="preserve">rozpočtu a požadované výkaznictví by v případech, kdy například chod úřadu zajišťuje neuvolněný starosta, bylo nad rámec dostupných kapacit obcí. </w:t>
      </w:r>
    </w:p>
    <w:p w:rsidR="00902318" w:rsidRDefault="00902318" w:rsidP="00902318">
      <w:pPr>
        <w:pStyle w:val="Normlnweb"/>
        <w:spacing w:after="0" w:line="260" w:lineRule="atLeast"/>
        <w:jc w:val="both"/>
        <w:rPr>
          <w:rFonts w:ascii="Arial" w:hAnsi="Arial" w:cs="Arial"/>
          <w:b/>
          <w:color w:val="000000"/>
          <w:sz w:val="20"/>
          <w:szCs w:val="20"/>
        </w:rPr>
      </w:pPr>
    </w:p>
    <w:p w:rsidR="00902318" w:rsidRDefault="00223ED1" w:rsidP="00902318">
      <w:pPr>
        <w:pStyle w:val="Normlnweb"/>
        <w:spacing w:after="0" w:line="260" w:lineRule="atLeast"/>
        <w:jc w:val="both"/>
        <w:rPr>
          <w:rFonts w:ascii="Arial" w:hAnsi="Arial" w:cs="Arial"/>
          <w:b/>
          <w:color w:val="000000"/>
          <w:sz w:val="20"/>
          <w:szCs w:val="20"/>
        </w:rPr>
      </w:pPr>
      <w:r w:rsidRPr="00955944">
        <w:rPr>
          <w:rFonts w:ascii="Arial" w:hAnsi="Arial" w:cs="Arial"/>
          <w:b/>
          <w:color w:val="000000"/>
          <w:sz w:val="20"/>
          <w:szCs w:val="20"/>
        </w:rPr>
        <w:t xml:space="preserve">Pro další informace kontaktujte: </w:t>
      </w:r>
    </w:p>
    <w:p w:rsidR="006503E7" w:rsidRPr="00902318" w:rsidRDefault="001D377D" w:rsidP="00902318">
      <w:pPr>
        <w:pStyle w:val="Normlnweb"/>
        <w:spacing w:after="0" w:line="260" w:lineRule="atLeast"/>
        <w:jc w:val="both"/>
        <w:rPr>
          <w:rFonts w:ascii="Arial" w:hAnsi="Arial" w:cs="Arial"/>
          <w:b/>
          <w:color w:val="000000"/>
          <w:sz w:val="20"/>
          <w:szCs w:val="20"/>
        </w:rPr>
      </w:pPr>
      <w:r w:rsidRPr="006503E7">
        <w:rPr>
          <w:rFonts w:ascii="Arial" w:hAnsi="Arial" w:cs="Arial"/>
          <w:color w:val="000000"/>
          <w:sz w:val="20"/>
          <w:szCs w:val="20"/>
        </w:rPr>
        <w:t xml:space="preserve">Štěpánka Filipová, </w:t>
      </w:r>
      <w:r w:rsidR="00A220AA" w:rsidRPr="006503E7">
        <w:rPr>
          <w:rFonts w:ascii="Arial" w:hAnsi="Arial" w:cs="Arial"/>
          <w:color w:val="000000"/>
          <w:sz w:val="20"/>
          <w:szCs w:val="20"/>
        </w:rPr>
        <w:t xml:space="preserve">Svaz měst a obcí ČR, </w:t>
      </w:r>
      <w:r w:rsidR="00D359A5" w:rsidRPr="006503E7">
        <w:rPr>
          <w:rFonts w:ascii="Arial" w:hAnsi="Arial" w:cs="Arial"/>
          <w:color w:val="000000"/>
          <w:sz w:val="20"/>
          <w:szCs w:val="20"/>
        </w:rPr>
        <w:t>mediální z</w:t>
      </w:r>
      <w:r w:rsidR="00A04208" w:rsidRPr="006503E7">
        <w:rPr>
          <w:rFonts w:ascii="Arial" w:hAnsi="Arial" w:cs="Arial"/>
          <w:color w:val="000000"/>
          <w:sz w:val="20"/>
          <w:szCs w:val="20"/>
        </w:rPr>
        <w:t>a</w:t>
      </w:r>
      <w:r w:rsidR="00D359A5" w:rsidRPr="006503E7">
        <w:rPr>
          <w:rFonts w:ascii="Arial" w:hAnsi="Arial" w:cs="Arial"/>
          <w:color w:val="000000"/>
          <w:sz w:val="20"/>
          <w:szCs w:val="20"/>
        </w:rPr>
        <w:t>st</w:t>
      </w:r>
      <w:r w:rsidR="00A04208" w:rsidRPr="006503E7">
        <w:rPr>
          <w:rFonts w:ascii="Arial" w:hAnsi="Arial" w:cs="Arial"/>
          <w:color w:val="000000"/>
          <w:sz w:val="20"/>
          <w:szCs w:val="20"/>
        </w:rPr>
        <w:t>o</w:t>
      </w:r>
      <w:r w:rsidR="00D359A5" w:rsidRPr="006503E7">
        <w:rPr>
          <w:rFonts w:ascii="Arial" w:hAnsi="Arial" w:cs="Arial"/>
          <w:color w:val="000000"/>
          <w:sz w:val="20"/>
          <w:szCs w:val="20"/>
        </w:rPr>
        <w:t>up</w:t>
      </w:r>
      <w:r w:rsidR="00A04208" w:rsidRPr="006503E7">
        <w:rPr>
          <w:rFonts w:ascii="Arial" w:hAnsi="Arial" w:cs="Arial"/>
          <w:color w:val="000000"/>
          <w:sz w:val="20"/>
          <w:szCs w:val="20"/>
        </w:rPr>
        <w:t>ení</w:t>
      </w:r>
      <w:r w:rsidR="001B0E08" w:rsidRPr="006503E7">
        <w:rPr>
          <w:rFonts w:ascii="Arial" w:hAnsi="Arial" w:cs="Arial"/>
          <w:color w:val="000000"/>
          <w:sz w:val="20"/>
          <w:szCs w:val="20"/>
        </w:rPr>
        <w:t xml:space="preserve">, </w:t>
      </w:r>
      <w:r w:rsidR="00223ED1" w:rsidRPr="006503E7">
        <w:rPr>
          <w:rFonts w:ascii="Arial" w:hAnsi="Arial" w:cs="Arial"/>
          <w:color w:val="000000"/>
          <w:sz w:val="20"/>
          <w:szCs w:val="20"/>
        </w:rPr>
        <w:t>mobil</w:t>
      </w:r>
      <w:r w:rsidRPr="006503E7">
        <w:rPr>
          <w:rFonts w:ascii="Arial" w:hAnsi="Arial" w:cs="Arial"/>
          <w:color w:val="000000"/>
          <w:sz w:val="20"/>
          <w:szCs w:val="20"/>
        </w:rPr>
        <w:t>:</w:t>
      </w:r>
      <w:r w:rsidR="00223ED1" w:rsidRPr="006503E7">
        <w:rPr>
          <w:rFonts w:ascii="Arial" w:hAnsi="Arial" w:cs="Arial"/>
          <w:color w:val="000000"/>
          <w:sz w:val="20"/>
          <w:szCs w:val="20"/>
        </w:rPr>
        <w:t xml:space="preserve"> 7</w:t>
      </w:r>
      <w:r w:rsidRPr="006503E7">
        <w:rPr>
          <w:rFonts w:ascii="Arial" w:hAnsi="Arial" w:cs="Arial"/>
          <w:color w:val="000000"/>
          <w:sz w:val="20"/>
          <w:szCs w:val="20"/>
        </w:rPr>
        <w:t>24 302</w:t>
      </w:r>
      <w:r w:rsidR="005753B1" w:rsidRPr="006503E7">
        <w:rPr>
          <w:rFonts w:ascii="Arial" w:hAnsi="Arial" w:cs="Arial"/>
          <w:color w:val="000000"/>
          <w:sz w:val="20"/>
          <w:szCs w:val="20"/>
        </w:rPr>
        <w:t> </w:t>
      </w:r>
      <w:r w:rsidRPr="006503E7">
        <w:rPr>
          <w:rFonts w:ascii="Arial" w:hAnsi="Arial" w:cs="Arial"/>
          <w:color w:val="000000"/>
          <w:sz w:val="20"/>
          <w:szCs w:val="20"/>
        </w:rPr>
        <w:t>802,</w:t>
      </w:r>
      <w:r w:rsidR="006503E7" w:rsidRPr="006503E7">
        <w:rPr>
          <w:rFonts w:ascii="Arial" w:hAnsi="Arial" w:cs="Arial"/>
          <w:color w:val="000000"/>
          <w:sz w:val="20"/>
          <w:szCs w:val="20"/>
        </w:rPr>
        <w:t xml:space="preserve"> </w:t>
      </w:r>
      <w:r w:rsidRPr="006503E7">
        <w:rPr>
          <w:rFonts w:ascii="Arial" w:hAnsi="Arial" w:cs="Arial"/>
          <w:color w:val="111111"/>
          <w:sz w:val="20"/>
          <w:szCs w:val="20"/>
        </w:rPr>
        <w:t xml:space="preserve">e-mail: </w:t>
      </w:r>
      <w:hyperlink r:id="rId6" w:history="1">
        <w:r w:rsidR="00277D99" w:rsidRPr="006503E7">
          <w:rPr>
            <w:rStyle w:val="Hypertextovodkaz"/>
            <w:rFonts w:ascii="Arial" w:hAnsi="Arial" w:cs="Arial"/>
            <w:sz w:val="20"/>
            <w:szCs w:val="20"/>
          </w:rPr>
          <w:t>filipova@smocr.cz</w:t>
        </w:r>
      </w:hyperlink>
    </w:p>
    <w:p w:rsidR="007A4528" w:rsidRDefault="007A4528" w:rsidP="00955944">
      <w:pPr>
        <w:spacing w:after="0" w:line="240" w:lineRule="auto"/>
        <w:jc w:val="both"/>
        <w:rPr>
          <w:rFonts w:ascii="Arial" w:hAnsi="Arial" w:cs="Arial"/>
          <w:color w:val="111111"/>
          <w:sz w:val="20"/>
          <w:szCs w:val="20"/>
        </w:rPr>
      </w:pPr>
    </w:p>
    <w:p w:rsidR="007A4528" w:rsidRDefault="007A4528" w:rsidP="00955944">
      <w:pPr>
        <w:spacing w:after="0" w:line="240" w:lineRule="auto"/>
        <w:jc w:val="both"/>
        <w:rPr>
          <w:rFonts w:ascii="Arial" w:hAnsi="Arial" w:cs="Arial"/>
          <w:color w:val="111111"/>
          <w:sz w:val="20"/>
          <w:szCs w:val="20"/>
        </w:rPr>
      </w:pPr>
    </w:p>
    <w:p w:rsidR="00223ED1" w:rsidRPr="001B0E08" w:rsidRDefault="00223ED1" w:rsidP="00955944">
      <w:pPr>
        <w:spacing w:after="0" w:line="240" w:lineRule="auto"/>
        <w:jc w:val="both"/>
        <w:rPr>
          <w:rFonts w:ascii="Arial" w:hAnsi="Arial" w:cs="Arial"/>
          <w:b/>
          <w:i/>
          <w:color w:val="111111"/>
          <w:sz w:val="20"/>
          <w:szCs w:val="20"/>
        </w:rPr>
      </w:pPr>
      <w:r w:rsidRPr="001B0E08">
        <w:rPr>
          <w:rFonts w:ascii="Arial" w:hAnsi="Arial" w:cs="Arial"/>
          <w:b/>
          <w:i/>
          <w:color w:val="111111"/>
          <w:sz w:val="20"/>
          <w:szCs w:val="20"/>
        </w:rPr>
        <w:t>O Svazu měst a obcí ČR:</w:t>
      </w:r>
    </w:p>
    <w:p w:rsidR="00223ED1" w:rsidRPr="001B0E08" w:rsidRDefault="00223ED1" w:rsidP="00955944">
      <w:pPr>
        <w:spacing w:after="0" w:line="240" w:lineRule="auto"/>
        <w:jc w:val="both"/>
        <w:rPr>
          <w:rFonts w:ascii="Arial" w:hAnsi="Arial" w:cs="Arial"/>
          <w:i/>
          <w:color w:val="111111"/>
          <w:sz w:val="20"/>
          <w:szCs w:val="20"/>
        </w:rPr>
      </w:pPr>
      <w:r w:rsidRPr="001B0E08">
        <w:rPr>
          <w:rFonts w:ascii="Arial" w:hAnsi="Arial" w:cs="Arial"/>
          <w:i/>
          <w:color w:val="111111"/>
          <w:sz w:val="20"/>
          <w:szCs w:val="20"/>
        </w:rPr>
        <w:t xml:space="preserve">Svaz měst a obcí České republiky je celostátní, dobrovolnou, nepolitickou a nevládní organizací, založenou jako zájmové sdružení právnických osob. Členy Svazu jsou obce a města. Svaz měst a obcí ČR je partnerem pro vládní i parlamentní politickou reprezentaci. Podílí se na přípravě a tvorbě návrhů legislativních i nelegislativních opatření v oblastech týkajících se kompetencí obcí. Činnost Svazu je založena především na aktivitě starostů, primátorů a členů zastupitelstev obcí a měst, kteří se nad rámec svých povinností věnují i obecným problémům samosprávy. V současné době Svaz sdružuje kolem dvou a půl tisíce měst a obcí. Více na </w:t>
      </w:r>
      <w:hyperlink r:id="rId7" w:history="1">
        <w:r w:rsidRPr="001B0E08">
          <w:rPr>
            <w:rStyle w:val="Hypertextovodkaz"/>
            <w:rFonts w:ascii="Arial" w:hAnsi="Arial" w:cs="Arial"/>
            <w:i/>
            <w:sz w:val="20"/>
            <w:szCs w:val="20"/>
          </w:rPr>
          <w:t>www.smocr.cz</w:t>
        </w:r>
      </w:hyperlink>
      <w:r w:rsidRPr="001B0E08">
        <w:rPr>
          <w:rFonts w:ascii="Arial" w:hAnsi="Arial" w:cs="Arial"/>
          <w:i/>
          <w:color w:val="111111"/>
          <w:sz w:val="20"/>
          <w:szCs w:val="20"/>
        </w:rPr>
        <w:t xml:space="preserve"> </w:t>
      </w:r>
    </w:p>
    <w:p w:rsidR="00223ED1" w:rsidRDefault="00223ED1" w:rsidP="00955944">
      <w:pPr>
        <w:spacing w:after="0" w:line="240" w:lineRule="auto"/>
        <w:jc w:val="both"/>
        <w:rPr>
          <w:rFonts w:ascii="Arial" w:hAnsi="Arial" w:cs="Arial"/>
          <w:i/>
          <w:color w:val="111111"/>
          <w:sz w:val="20"/>
          <w:szCs w:val="20"/>
        </w:rPr>
      </w:pPr>
    </w:p>
    <w:p w:rsidR="00EB24DB" w:rsidRDefault="00EB24DB" w:rsidP="0073661A">
      <w:pPr>
        <w:spacing w:after="0" w:line="360" w:lineRule="auto"/>
        <w:jc w:val="both"/>
        <w:rPr>
          <w:rFonts w:ascii="Arial" w:hAnsi="Arial" w:cs="Arial"/>
          <w:b/>
          <w:sz w:val="24"/>
          <w:szCs w:val="24"/>
        </w:rPr>
      </w:pPr>
    </w:p>
    <w:sectPr w:rsidR="00EB24DB" w:rsidSect="001F76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7041D"/>
    <w:multiLevelType w:val="hybridMultilevel"/>
    <w:tmpl w:val="196CB172"/>
    <w:lvl w:ilvl="0" w:tplc="F5123EC6">
      <w:start w:val="1"/>
      <w:numFmt w:val="bullet"/>
      <w:lvlText w:val="•"/>
      <w:lvlJc w:val="left"/>
      <w:pPr>
        <w:tabs>
          <w:tab w:val="num" w:pos="720"/>
        </w:tabs>
        <w:ind w:left="720" w:hanging="360"/>
      </w:pPr>
      <w:rPr>
        <w:rFonts w:ascii="Times New Roman" w:hAnsi="Times New Roman" w:hint="default"/>
      </w:rPr>
    </w:lvl>
    <w:lvl w:ilvl="1" w:tplc="C4904070" w:tentative="1">
      <w:start w:val="1"/>
      <w:numFmt w:val="bullet"/>
      <w:lvlText w:val="•"/>
      <w:lvlJc w:val="left"/>
      <w:pPr>
        <w:tabs>
          <w:tab w:val="num" w:pos="1440"/>
        </w:tabs>
        <w:ind w:left="1440" w:hanging="360"/>
      </w:pPr>
      <w:rPr>
        <w:rFonts w:ascii="Times New Roman" w:hAnsi="Times New Roman" w:hint="default"/>
      </w:rPr>
    </w:lvl>
    <w:lvl w:ilvl="2" w:tplc="6078659A" w:tentative="1">
      <w:start w:val="1"/>
      <w:numFmt w:val="bullet"/>
      <w:lvlText w:val="•"/>
      <w:lvlJc w:val="left"/>
      <w:pPr>
        <w:tabs>
          <w:tab w:val="num" w:pos="2160"/>
        </w:tabs>
        <w:ind w:left="2160" w:hanging="360"/>
      </w:pPr>
      <w:rPr>
        <w:rFonts w:ascii="Times New Roman" w:hAnsi="Times New Roman" w:hint="default"/>
      </w:rPr>
    </w:lvl>
    <w:lvl w:ilvl="3" w:tplc="317A776E" w:tentative="1">
      <w:start w:val="1"/>
      <w:numFmt w:val="bullet"/>
      <w:lvlText w:val="•"/>
      <w:lvlJc w:val="left"/>
      <w:pPr>
        <w:tabs>
          <w:tab w:val="num" w:pos="2880"/>
        </w:tabs>
        <w:ind w:left="2880" w:hanging="360"/>
      </w:pPr>
      <w:rPr>
        <w:rFonts w:ascii="Times New Roman" w:hAnsi="Times New Roman" w:hint="default"/>
      </w:rPr>
    </w:lvl>
    <w:lvl w:ilvl="4" w:tplc="427CDAFA" w:tentative="1">
      <w:start w:val="1"/>
      <w:numFmt w:val="bullet"/>
      <w:lvlText w:val="•"/>
      <w:lvlJc w:val="left"/>
      <w:pPr>
        <w:tabs>
          <w:tab w:val="num" w:pos="3600"/>
        </w:tabs>
        <w:ind w:left="3600" w:hanging="360"/>
      </w:pPr>
      <w:rPr>
        <w:rFonts w:ascii="Times New Roman" w:hAnsi="Times New Roman" w:hint="default"/>
      </w:rPr>
    </w:lvl>
    <w:lvl w:ilvl="5" w:tplc="45A413EC" w:tentative="1">
      <w:start w:val="1"/>
      <w:numFmt w:val="bullet"/>
      <w:lvlText w:val="•"/>
      <w:lvlJc w:val="left"/>
      <w:pPr>
        <w:tabs>
          <w:tab w:val="num" w:pos="4320"/>
        </w:tabs>
        <w:ind w:left="4320" w:hanging="360"/>
      </w:pPr>
      <w:rPr>
        <w:rFonts w:ascii="Times New Roman" w:hAnsi="Times New Roman" w:hint="default"/>
      </w:rPr>
    </w:lvl>
    <w:lvl w:ilvl="6" w:tplc="C2DE4B08" w:tentative="1">
      <w:start w:val="1"/>
      <w:numFmt w:val="bullet"/>
      <w:lvlText w:val="•"/>
      <w:lvlJc w:val="left"/>
      <w:pPr>
        <w:tabs>
          <w:tab w:val="num" w:pos="5040"/>
        </w:tabs>
        <w:ind w:left="5040" w:hanging="360"/>
      </w:pPr>
      <w:rPr>
        <w:rFonts w:ascii="Times New Roman" w:hAnsi="Times New Roman" w:hint="default"/>
      </w:rPr>
    </w:lvl>
    <w:lvl w:ilvl="7" w:tplc="FDEE192C" w:tentative="1">
      <w:start w:val="1"/>
      <w:numFmt w:val="bullet"/>
      <w:lvlText w:val="•"/>
      <w:lvlJc w:val="left"/>
      <w:pPr>
        <w:tabs>
          <w:tab w:val="num" w:pos="5760"/>
        </w:tabs>
        <w:ind w:left="5760" w:hanging="360"/>
      </w:pPr>
      <w:rPr>
        <w:rFonts w:ascii="Times New Roman" w:hAnsi="Times New Roman" w:hint="default"/>
      </w:rPr>
    </w:lvl>
    <w:lvl w:ilvl="8" w:tplc="F2763872" w:tentative="1">
      <w:start w:val="1"/>
      <w:numFmt w:val="bullet"/>
      <w:lvlText w:val="•"/>
      <w:lvlJc w:val="left"/>
      <w:pPr>
        <w:tabs>
          <w:tab w:val="num" w:pos="6480"/>
        </w:tabs>
        <w:ind w:left="6480" w:hanging="360"/>
      </w:pPr>
      <w:rPr>
        <w:rFonts w:ascii="Times New Roman" w:hAnsi="Times New Roman" w:hint="default"/>
      </w:rPr>
    </w:lvl>
  </w:abstractNum>
  <w:abstractNum w:abstractNumId="1">
    <w:nsid w:val="26F65EE3"/>
    <w:multiLevelType w:val="hybridMultilevel"/>
    <w:tmpl w:val="F692C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4E22999"/>
    <w:multiLevelType w:val="hybridMultilevel"/>
    <w:tmpl w:val="393E5BE8"/>
    <w:lvl w:ilvl="0" w:tplc="6994E4AC">
      <w:start w:val="1"/>
      <w:numFmt w:val="bullet"/>
      <w:lvlText w:val="•"/>
      <w:lvlJc w:val="left"/>
      <w:pPr>
        <w:tabs>
          <w:tab w:val="num" w:pos="720"/>
        </w:tabs>
        <w:ind w:left="720" w:hanging="360"/>
      </w:pPr>
      <w:rPr>
        <w:rFonts w:ascii="Times New Roman" w:hAnsi="Times New Roman" w:hint="default"/>
      </w:rPr>
    </w:lvl>
    <w:lvl w:ilvl="1" w:tplc="4CA8277A" w:tentative="1">
      <w:start w:val="1"/>
      <w:numFmt w:val="bullet"/>
      <w:lvlText w:val="•"/>
      <w:lvlJc w:val="left"/>
      <w:pPr>
        <w:tabs>
          <w:tab w:val="num" w:pos="1440"/>
        </w:tabs>
        <w:ind w:left="1440" w:hanging="360"/>
      </w:pPr>
      <w:rPr>
        <w:rFonts w:ascii="Times New Roman" w:hAnsi="Times New Roman" w:hint="default"/>
      </w:rPr>
    </w:lvl>
    <w:lvl w:ilvl="2" w:tplc="B6C4EE96" w:tentative="1">
      <w:start w:val="1"/>
      <w:numFmt w:val="bullet"/>
      <w:lvlText w:val="•"/>
      <w:lvlJc w:val="left"/>
      <w:pPr>
        <w:tabs>
          <w:tab w:val="num" w:pos="2160"/>
        </w:tabs>
        <w:ind w:left="2160" w:hanging="360"/>
      </w:pPr>
      <w:rPr>
        <w:rFonts w:ascii="Times New Roman" w:hAnsi="Times New Roman" w:hint="default"/>
      </w:rPr>
    </w:lvl>
    <w:lvl w:ilvl="3" w:tplc="9252B6EC" w:tentative="1">
      <w:start w:val="1"/>
      <w:numFmt w:val="bullet"/>
      <w:lvlText w:val="•"/>
      <w:lvlJc w:val="left"/>
      <w:pPr>
        <w:tabs>
          <w:tab w:val="num" w:pos="2880"/>
        </w:tabs>
        <w:ind w:left="2880" w:hanging="360"/>
      </w:pPr>
      <w:rPr>
        <w:rFonts w:ascii="Times New Roman" w:hAnsi="Times New Roman" w:hint="default"/>
      </w:rPr>
    </w:lvl>
    <w:lvl w:ilvl="4" w:tplc="E97AA7B0" w:tentative="1">
      <w:start w:val="1"/>
      <w:numFmt w:val="bullet"/>
      <w:lvlText w:val="•"/>
      <w:lvlJc w:val="left"/>
      <w:pPr>
        <w:tabs>
          <w:tab w:val="num" w:pos="3600"/>
        </w:tabs>
        <w:ind w:left="3600" w:hanging="360"/>
      </w:pPr>
      <w:rPr>
        <w:rFonts w:ascii="Times New Roman" w:hAnsi="Times New Roman" w:hint="default"/>
      </w:rPr>
    </w:lvl>
    <w:lvl w:ilvl="5" w:tplc="7890B026" w:tentative="1">
      <w:start w:val="1"/>
      <w:numFmt w:val="bullet"/>
      <w:lvlText w:val="•"/>
      <w:lvlJc w:val="left"/>
      <w:pPr>
        <w:tabs>
          <w:tab w:val="num" w:pos="4320"/>
        </w:tabs>
        <w:ind w:left="4320" w:hanging="360"/>
      </w:pPr>
      <w:rPr>
        <w:rFonts w:ascii="Times New Roman" w:hAnsi="Times New Roman" w:hint="default"/>
      </w:rPr>
    </w:lvl>
    <w:lvl w:ilvl="6" w:tplc="48540C0C" w:tentative="1">
      <w:start w:val="1"/>
      <w:numFmt w:val="bullet"/>
      <w:lvlText w:val="•"/>
      <w:lvlJc w:val="left"/>
      <w:pPr>
        <w:tabs>
          <w:tab w:val="num" w:pos="5040"/>
        </w:tabs>
        <w:ind w:left="5040" w:hanging="360"/>
      </w:pPr>
      <w:rPr>
        <w:rFonts w:ascii="Times New Roman" w:hAnsi="Times New Roman" w:hint="default"/>
      </w:rPr>
    </w:lvl>
    <w:lvl w:ilvl="7" w:tplc="AC2EF522" w:tentative="1">
      <w:start w:val="1"/>
      <w:numFmt w:val="bullet"/>
      <w:lvlText w:val="•"/>
      <w:lvlJc w:val="left"/>
      <w:pPr>
        <w:tabs>
          <w:tab w:val="num" w:pos="5760"/>
        </w:tabs>
        <w:ind w:left="5760" w:hanging="360"/>
      </w:pPr>
      <w:rPr>
        <w:rFonts w:ascii="Times New Roman" w:hAnsi="Times New Roman" w:hint="default"/>
      </w:rPr>
    </w:lvl>
    <w:lvl w:ilvl="8" w:tplc="9F342410" w:tentative="1">
      <w:start w:val="1"/>
      <w:numFmt w:val="bullet"/>
      <w:lvlText w:val="•"/>
      <w:lvlJc w:val="left"/>
      <w:pPr>
        <w:tabs>
          <w:tab w:val="num" w:pos="6480"/>
        </w:tabs>
        <w:ind w:left="6480" w:hanging="360"/>
      </w:pPr>
      <w:rPr>
        <w:rFonts w:ascii="Times New Roman" w:hAnsi="Times New Roman" w:hint="default"/>
      </w:rPr>
    </w:lvl>
  </w:abstractNum>
  <w:abstractNum w:abstractNumId="3">
    <w:nsid w:val="66B85D66"/>
    <w:multiLevelType w:val="hybridMultilevel"/>
    <w:tmpl w:val="C1067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6777042F"/>
    <w:multiLevelType w:val="hybridMultilevel"/>
    <w:tmpl w:val="EE141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328215B"/>
    <w:multiLevelType w:val="hybridMultilevel"/>
    <w:tmpl w:val="6ADA9174"/>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3661A"/>
    <w:rsid w:val="00026330"/>
    <w:rsid w:val="00046D38"/>
    <w:rsid w:val="00077A55"/>
    <w:rsid w:val="0009742B"/>
    <w:rsid w:val="00110A74"/>
    <w:rsid w:val="00141747"/>
    <w:rsid w:val="00156274"/>
    <w:rsid w:val="00177298"/>
    <w:rsid w:val="00186F3A"/>
    <w:rsid w:val="00195897"/>
    <w:rsid w:val="001B0E08"/>
    <w:rsid w:val="001D377D"/>
    <w:rsid w:val="001E3990"/>
    <w:rsid w:val="001F7687"/>
    <w:rsid w:val="002043D7"/>
    <w:rsid w:val="00223ED1"/>
    <w:rsid w:val="002264E1"/>
    <w:rsid w:val="00230FA5"/>
    <w:rsid w:val="002378CC"/>
    <w:rsid w:val="00277D99"/>
    <w:rsid w:val="00287129"/>
    <w:rsid w:val="002D22C2"/>
    <w:rsid w:val="002E32B7"/>
    <w:rsid w:val="003154A1"/>
    <w:rsid w:val="00365DFD"/>
    <w:rsid w:val="003E2C21"/>
    <w:rsid w:val="003E3CD4"/>
    <w:rsid w:val="003F0408"/>
    <w:rsid w:val="00426FA9"/>
    <w:rsid w:val="00465005"/>
    <w:rsid w:val="00474121"/>
    <w:rsid w:val="00474DB3"/>
    <w:rsid w:val="004F1813"/>
    <w:rsid w:val="004F1A3E"/>
    <w:rsid w:val="005604B5"/>
    <w:rsid w:val="005753B1"/>
    <w:rsid w:val="00595DDB"/>
    <w:rsid w:val="005B0AC3"/>
    <w:rsid w:val="005B1E4B"/>
    <w:rsid w:val="005D1571"/>
    <w:rsid w:val="005D4898"/>
    <w:rsid w:val="00610005"/>
    <w:rsid w:val="006503E7"/>
    <w:rsid w:val="00665A07"/>
    <w:rsid w:val="006B1E70"/>
    <w:rsid w:val="006D6679"/>
    <w:rsid w:val="006E4CBC"/>
    <w:rsid w:val="006F5E9A"/>
    <w:rsid w:val="0073661A"/>
    <w:rsid w:val="007A4528"/>
    <w:rsid w:val="007D0AB7"/>
    <w:rsid w:val="007D1994"/>
    <w:rsid w:val="007F242B"/>
    <w:rsid w:val="00801F3F"/>
    <w:rsid w:val="008041ED"/>
    <w:rsid w:val="00826F05"/>
    <w:rsid w:val="00846067"/>
    <w:rsid w:val="008B5549"/>
    <w:rsid w:val="008F70E8"/>
    <w:rsid w:val="008F78B4"/>
    <w:rsid w:val="00902318"/>
    <w:rsid w:val="009043EE"/>
    <w:rsid w:val="00914006"/>
    <w:rsid w:val="00922F39"/>
    <w:rsid w:val="00955944"/>
    <w:rsid w:val="00987488"/>
    <w:rsid w:val="009A261D"/>
    <w:rsid w:val="009B462C"/>
    <w:rsid w:val="00A04208"/>
    <w:rsid w:val="00A147E4"/>
    <w:rsid w:val="00A220AA"/>
    <w:rsid w:val="00A35108"/>
    <w:rsid w:val="00A35AB6"/>
    <w:rsid w:val="00A6370B"/>
    <w:rsid w:val="00A97D68"/>
    <w:rsid w:val="00AE2273"/>
    <w:rsid w:val="00AE6723"/>
    <w:rsid w:val="00B118F4"/>
    <w:rsid w:val="00B30AF2"/>
    <w:rsid w:val="00B37B37"/>
    <w:rsid w:val="00B44967"/>
    <w:rsid w:val="00B5183A"/>
    <w:rsid w:val="00B60014"/>
    <w:rsid w:val="00B97801"/>
    <w:rsid w:val="00BC4BEA"/>
    <w:rsid w:val="00BD34FF"/>
    <w:rsid w:val="00BE7C5F"/>
    <w:rsid w:val="00C31DB1"/>
    <w:rsid w:val="00C3623F"/>
    <w:rsid w:val="00C571F1"/>
    <w:rsid w:val="00CC2CCF"/>
    <w:rsid w:val="00D07A16"/>
    <w:rsid w:val="00D359A5"/>
    <w:rsid w:val="00D53E20"/>
    <w:rsid w:val="00D6367D"/>
    <w:rsid w:val="00D919D9"/>
    <w:rsid w:val="00D9214C"/>
    <w:rsid w:val="00DD5CF7"/>
    <w:rsid w:val="00E00639"/>
    <w:rsid w:val="00E02609"/>
    <w:rsid w:val="00E05EAA"/>
    <w:rsid w:val="00E10D34"/>
    <w:rsid w:val="00E41325"/>
    <w:rsid w:val="00E57515"/>
    <w:rsid w:val="00E62AFE"/>
    <w:rsid w:val="00EB0119"/>
    <w:rsid w:val="00EB242F"/>
    <w:rsid w:val="00EB24DB"/>
    <w:rsid w:val="00EB47BD"/>
    <w:rsid w:val="00F34315"/>
    <w:rsid w:val="00F72F50"/>
    <w:rsid w:val="00F90CC0"/>
    <w:rsid w:val="00FD2D2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7687"/>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223ED1"/>
    <w:rPr>
      <w:color w:val="0000FF"/>
      <w:u w:val="single"/>
    </w:rPr>
  </w:style>
  <w:style w:type="character" w:styleId="Siln">
    <w:name w:val="Strong"/>
    <w:uiPriority w:val="22"/>
    <w:qFormat/>
    <w:rsid w:val="00223ED1"/>
    <w:rPr>
      <w:b/>
      <w:bCs/>
    </w:rPr>
  </w:style>
  <w:style w:type="character" w:styleId="Zvraznn">
    <w:name w:val="Emphasis"/>
    <w:uiPriority w:val="20"/>
    <w:qFormat/>
    <w:rsid w:val="00223ED1"/>
    <w:rPr>
      <w:i/>
      <w:iCs/>
    </w:rPr>
  </w:style>
  <w:style w:type="paragraph" w:styleId="Odstavecseseznamem">
    <w:name w:val="List Paragraph"/>
    <w:basedOn w:val="Normln"/>
    <w:uiPriority w:val="34"/>
    <w:qFormat/>
    <w:rsid w:val="008F70E8"/>
    <w:pPr>
      <w:spacing w:after="0" w:line="240" w:lineRule="auto"/>
      <w:ind w:left="720"/>
      <w:contextualSpacing/>
    </w:pPr>
    <w:rPr>
      <w:rFonts w:ascii="Times New Roman" w:eastAsia="Times New Roman" w:hAnsi="Times New Roman"/>
      <w:sz w:val="24"/>
      <w:szCs w:val="24"/>
      <w:lang w:eastAsia="cs-CZ"/>
    </w:rPr>
  </w:style>
  <w:style w:type="paragraph" w:styleId="Zkladntext">
    <w:name w:val="Body Text"/>
    <w:basedOn w:val="Normln"/>
    <w:link w:val="ZkladntextChar"/>
    <w:rsid w:val="00922F39"/>
    <w:pPr>
      <w:spacing w:after="0" w:line="240" w:lineRule="auto"/>
    </w:pPr>
    <w:rPr>
      <w:rFonts w:ascii="Arial" w:eastAsia="Times New Roman" w:hAnsi="Arial"/>
      <w:szCs w:val="20"/>
      <w:lang/>
    </w:rPr>
  </w:style>
  <w:style w:type="character" w:customStyle="1" w:styleId="ZkladntextChar">
    <w:name w:val="Základní text Char"/>
    <w:link w:val="Zkladntext"/>
    <w:rsid w:val="00922F39"/>
    <w:rPr>
      <w:rFonts w:ascii="Arial" w:eastAsia="Times New Roman" w:hAnsi="Arial" w:cs="Arial"/>
      <w:sz w:val="22"/>
      <w:lang w:eastAsia="en-US"/>
    </w:rPr>
  </w:style>
  <w:style w:type="paragraph" w:styleId="Zhlav">
    <w:name w:val="header"/>
    <w:basedOn w:val="Normln"/>
    <w:link w:val="ZhlavChar"/>
    <w:rsid w:val="0009742B"/>
    <w:pPr>
      <w:tabs>
        <w:tab w:val="center" w:pos="4536"/>
        <w:tab w:val="right" w:pos="9072"/>
      </w:tabs>
      <w:suppressAutoHyphens/>
      <w:spacing w:after="0" w:line="240" w:lineRule="auto"/>
    </w:pPr>
    <w:rPr>
      <w:lang w:eastAsia="zh-CN"/>
    </w:rPr>
  </w:style>
  <w:style w:type="character" w:customStyle="1" w:styleId="ZhlavChar">
    <w:name w:val="Záhlaví Char"/>
    <w:link w:val="Zhlav"/>
    <w:rsid w:val="0009742B"/>
    <w:rPr>
      <w:sz w:val="22"/>
      <w:szCs w:val="22"/>
      <w:lang w:eastAsia="zh-CN"/>
    </w:rPr>
  </w:style>
  <w:style w:type="paragraph" w:styleId="Textbubliny">
    <w:name w:val="Balloon Text"/>
    <w:basedOn w:val="Normln"/>
    <w:link w:val="TextbublinyChar"/>
    <w:uiPriority w:val="99"/>
    <w:semiHidden/>
    <w:unhideWhenUsed/>
    <w:rsid w:val="00E05EAA"/>
    <w:pPr>
      <w:spacing w:after="0" w:line="240" w:lineRule="auto"/>
    </w:pPr>
    <w:rPr>
      <w:rFonts w:ascii="Tahoma" w:hAnsi="Tahoma"/>
      <w:sz w:val="16"/>
      <w:szCs w:val="16"/>
      <w:lang/>
    </w:rPr>
  </w:style>
  <w:style w:type="character" w:customStyle="1" w:styleId="TextbublinyChar">
    <w:name w:val="Text bubliny Char"/>
    <w:link w:val="Textbubliny"/>
    <w:uiPriority w:val="99"/>
    <w:semiHidden/>
    <w:rsid w:val="00E05EAA"/>
    <w:rPr>
      <w:rFonts w:ascii="Tahoma" w:hAnsi="Tahoma" w:cs="Tahoma"/>
      <w:sz w:val="16"/>
      <w:szCs w:val="16"/>
      <w:lang w:eastAsia="en-US"/>
    </w:rPr>
  </w:style>
  <w:style w:type="paragraph" w:styleId="Normlnweb">
    <w:name w:val="Normal (Web)"/>
    <w:basedOn w:val="Normln"/>
    <w:uiPriority w:val="99"/>
    <w:unhideWhenUsed/>
    <w:rsid w:val="00E02609"/>
    <w:pPr>
      <w:spacing w:after="320" w:line="240" w:lineRule="auto"/>
    </w:pPr>
    <w:rPr>
      <w:rFonts w:ascii="Times New Roman" w:eastAsia="Times New Roman" w:hAnsi="Times New Roman"/>
      <w:sz w:val="24"/>
      <w:szCs w:val="24"/>
      <w:lang w:eastAsia="cs-CZ"/>
    </w:rPr>
  </w:style>
  <w:style w:type="paragraph" w:styleId="Prosttext">
    <w:name w:val="Plain Text"/>
    <w:basedOn w:val="Normln"/>
    <w:link w:val="ProsttextChar"/>
    <w:uiPriority w:val="99"/>
    <w:unhideWhenUsed/>
    <w:rsid w:val="00E00639"/>
    <w:pPr>
      <w:spacing w:after="0" w:line="240" w:lineRule="auto"/>
    </w:pPr>
    <w:rPr>
      <w:rFonts w:ascii="Consolas" w:hAnsi="Consolas"/>
      <w:sz w:val="21"/>
      <w:szCs w:val="21"/>
      <w:lang/>
    </w:rPr>
  </w:style>
  <w:style w:type="character" w:customStyle="1" w:styleId="ProsttextChar">
    <w:name w:val="Prostý text Char"/>
    <w:link w:val="Prosttext"/>
    <w:uiPriority w:val="99"/>
    <w:rsid w:val="00E00639"/>
    <w:rPr>
      <w:rFonts w:ascii="Consolas" w:hAnsi="Consolas"/>
      <w:sz w:val="21"/>
      <w:szCs w:val="21"/>
      <w:lang w:eastAsia="en-US"/>
    </w:rPr>
  </w:style>
  <w:style w:type="character" w:styleId="Odkaznakoment">
    <w:name w:val="annotation reference"/>
    <w:uiPriority w:val="99"/>
    <w:semiHidden/>
    <w:unhideWhenUsed/>
    <w:rsid w:val="006D6679"/>
    <w:rPr>
      <w:sz w:val="16"/>
      <w:szCs w:val="16"/>
    </w:rPr>
  </w:style>
  <w:style w:type="paragraph" w:styleId="Textkomente">
    <w:name w:val="annotation text"/>
    <w:basedOn w:val="Normln"/>
    <w:link w:val="TextkomenteChar"/>
    <w:uiPriority w:val="99"/>
    <w:semiHidden/>
    <w:unhideWhenUsed/>
    <w:rsid w:val="006D6679"/>
    <w:rPr>
      <w:sz w:val="20"/>
      <w:szCs w:val="20"/>
      <w:lang/>
    </w:rPr>
  </w:style>
  <w:style w:type="character" w:customStyle="1" w:styleId="TextkomenteChar">
    <w:name w:val="Text komentáře Char"/>
    <w:link w:val="Textkomente"/>
    <w:uiPriority w:val="99"/>
    <w:semiHidden/>
    <w:rsid w:val="006D6679"/>
    <w:rPr>
      <w:lang w:eastAsia="en-US"/>
    </w:rPr>
  </w:style>
  <w:style w:type="paragraph" w:styleId="Pedmtkomente">
    <w:name w:val="annotation subject"/>
    <w:basedOn w:val="Textkomente"/>
    <w:next w:val="Textkomente"/>
    <w:link w:val="PedmtkomenteChar"/>
    <w:uiPriority w:val="99"/>
    <w:semiHidden/>
    <w:unhideWhenUsed/>
    <w:rsid w:val="006D6679"/>
    <w:rPr>
      <w:b/>
      <w:bCs/>
    </w:rPr>
  </w:style>
  <w:style w:type="character" w:customStyle="1" w:styleId="PedmtkomenteChar">
    <w:name w:val="Předmět komentáře Char"/>
    <w:link w:val="Pedmtkomente"/>
    <w:uiPriority w:val="99"/>
    <w:semiHidden/>
    <w:rsid w:val="006D6679"/>
    <w:rPr>
      <w:b/>
      <w:bCs/>
      <w:lang w:eastAsia="en-US"/>
    </w:rPr>
  </w:style>
</w:styles>
</file>

<file path=word/webSettings.xml><?xml version="1.0" encoding="utf-8"?>
<w:webSettings xmlns:r="http://schemas.openxmlformats.org/officeDocument/2006/relationships" xmlns:w="http://schemas.openxmlformats.org/wordprocessingml/2006/main">
  <w:divs>
    <w:div w:id="196699230">
      <w:bodyDiv w:val="1"/>
      <w:marLeft w:val="0"/>
      <w:marRight w:val="0"/>
      <w:marTop w:val="0"/>
      <w:marBottom w:val="0"/>
      <w:divBdr>
        <w:top w:val="none" w:sz="0" w:space="0" w:color="auto"/>
        <w:left w:val="none" w:sz="0" w:space="0" w:color="auto"/>
        <w:bottom w:val="none" w:sz="0" w:space="0" w:color="auto"/>
        <w:right w:val="none" w:sz="0" w:space="0" w:color="auto"/>
      </w:divBdr>
      <w:divsChild>
        <w:div w:id="2113891833">
          <w:marLeft w:val="547"/>
          <w:marRight w:val="0"/>
          <w:marTop w:val="115"/>
          <w:marBottom w:val="346"/>
          <w:divBdr>
            <w:top w:val="none" w:sz="0" w:space="0" w:color="auto"/>
            <w:left w:val="none" w:sz="0" w:space="0" w:color="auto"/>
            <w:bottom w:val="none" w:sz="0" w:space="0" w:color="auto"/>
            <w:right w:val="none" w:sz="0" w:space="0" w:color="auto"/>
          </w:divBdr>
        </w:div>
      </w:divsChild>
    </w:div>
    <w:div w:id="1126659272">
      <w:bodyDiv w:val="1"/>
      <w:marLeft w:val="0"/>
      <w:marRight w:val="0"/>
      <w:marTop w:val="0"/>
      <w:marBottom w:val="0"/>
      <w:divBdr>
        <w:top w:val="none" w:sz="0" w:space="0" w:color="auto"/>
        <w:left w:val="none" w:sz="0" w:space="0" w:color="auto"/>
        <w:bottom w:val="none" w:sz="0" w:space="0" w:color="auto"/>
        <w:right w:val="none" w:sz="0" w:space="0" w:color="auto"/>
      </w:divBdr>
      <w:divsChild>
        <w:div w:id="435290220">
          <w:marLeft w:val="0"/>
          <w:marRight w:val="0"/>
          <w:marTop w:val="0"/>
          <w:marBottom w:val="0"/>
          <w:divBdr>
            <w:top w:val="none" w:sz="0" w:space="0" w:color="auto"/>
            <w:left w:val="none" w:sz="0" w:space="0" w:color="auto"/>
            <w:bottom w:val="none" w:sz="0" w:space="0" w:color="auto"/>
            <w:right w:val="none" w:sz="0" w:space="0" w:color="auto"/>
          </w:divBdr>
          <w:divsChild>
            <w:div w:id="1480003589">
              <w:marLeft w:val="0"/>
              <w:marRight w:val="0"/>
              <w:marTop w:val="0"/>
              <w:marBottom w:val="0"/>
              <w:divBdr>
                <w:top w:val="none" w:sz="0" w:space="0" w:color="auto"/>
                <w:left w:val="none" w:sz="0" w:space="0" w:color="auto"/>
                <w:bottom w:val="none" w:sz="0" w:space="0" w:color="auto"/>
                <w:right w:val="none" w:sz="0" w:space="0" w:color="auto"/>
              </w:divBdr>
              <w:divsChild>
                <w:div w:id="2100910345">
                  <w:marLeft w:val="0"/>
                  <w:marRight w:val="0"/>
                  <w:marTop w:val="0"/>
                  <w:marBottom w:val="0"/>
                  <w:divBdr>
                    <w:top w:val="none" w:sz="0" w:space="0" w:color="auto"/>
                    <w:left w:val="none" w:sz="0" w:space="0" w:color="auto"/>
                    <w:bottom w:val="none" w:sz="0" w:space="0" w:color="auto"/>
                    <w:right w:val="none" w:sz="0" w:space="0" w:color="auto"/>
                  </w:divBdr>
                  <w:divsChild>
                    <w:div w:id="822433865">
                      <w:marLeft w:val="0"/>
                      <w:marRight w:val="0"/>
                      <w:marTop w:val="0"/>
                      <w:marBottom w:val="0"/>
                      <w:divBdr>
                        <w:top w:val="none" w:sz="0" w:space="0" w:color="auto"/>
                        <w:left w:val="none" w:sz="0" w:space="0" w:color="auto"/>
                        <w:bottom w:val="none" w:sz="0" w:space="0" w:color="auto"/>
                        <w:right w:val="none" w:sz="0" w:space="0" w:color="auto"/>
                      </w:divBdr>
                      <w:divsChild>
                        <w:div w:id="603684290">
                          <w:marLeft w:val="0"/>
                          <w:marRight w:val="0"/>
                          <w:marTop w:val="0"/>
                          <w:marBottom w:val="0"/>
                          <w:divBdr>
                            <w:top w:val="none" w:sz="0" w:space="0" w:color="auto"/>
                            <w:left w:val="none" w:sz="0" w:space="0" w:color="auto"/>
                            <w:bottom w:val="none" w:sz="0" w:space="0" w:color="auto"/>
                            <w:right w:val="none" w:sz="0" w:space="0" w:color="auto"/>
                          </w:divBdr>
                        </w:div>
                        <w:div w:id="7287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367568">
      <w:bodyDiv w:val="1"/>
      <w:marLeft w:val="0"/>
      <w:marRight w:val="0"/>
      <w:marTop w:val="0"/>
      <w:marBottom w:val="0"/>
      <w:divBdr>
        <w:top w:val="none" w:sz="0" w:space="0" w:color="auto"/>
        <w:left w:val="none" w:sz="0" w:space="0" w:color="auto"/>
        <w:bottom w:val="none" w:sz="0" w:space="0" w:color="auto"/>
        <w:right w:val="none" w:sz="0" w:space="0" w:color="auto"/>
      </w:divBdr>
      <w:divsChild>
        <w:div w:id="1565602468">
          <w:marLeft w:val="547"/>
          <w:marRight w:val="0"/>
          <w:marTop w:val="115"/>
          <w:marBottom w:val="346"/>
          <w:divBdr>
            <w:top w:val="none" w:sz="0" w:space="0" w:color="auto"/>
            <w:left w:val="none" w:sz="0" w:space="0" w:color="auto"/>
            <w:bottom w:val="none" w:sz="0" w:space="0" w:color="auto"/>
            <w:right w:val="none" w:sz="0" w:space="0" w:color="auto"/>
          </w:divBdr>
        </w:div>
        <w:div w:id="2003119556">
          <w:marLeft w:val="547"/>
          <w:marRight w:val="0"/>
          <w:marTop w:val="115"/>
          <w:marBottom w:val="34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mo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lipova@smocr.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653</Words>
  <Characters>3855</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4500</CharactersWithSpaces>
  <SharedDoc>false</SharedDoc>
  <HLinks>
    <vt:vector size="36" baseType="variant">
      <vt:variant>
        <vt:i4>589834</vt:i4>
      </vt:variant>
      <vt:variant>
        <vt:i4>15</vt:i4>
      </vt:variant>
      <vt:variant>
        <vt:i4>0</vt:i4>
      </vt:variant>
      <vt:variant>
        <vt:i4>5</vt:i4>
      </vt:variant>
      <vt:variant>
        <vt:lpwstr>http://www.smocr.cz/</vt:lpwstr>
      </vt:variant>
      <vt:variant>
        <vt:lpwstr/>
      </vt:variant>
      <vt:variant>
        <vt:i4>1114154</vt:i4>
      </vt:variant>
      <vt:variant>
        <vt:i4>12</vt:i4>
      </vt:variant>
      <vt:variant>
        <vt:i4>0</vt:i4>
      </vt:variant>
      <vt:variant>
        <vt:i4>5</vt:i4>
      </vt:variant>
      <vt:variant>
        <vt:lpwstr>mailto:tiskove@mzp.cz</vt:lpwstr>
      </vt:variant>
      <vt:variant>
        <vt:lpwstr/>
      </vt:variant>
      <vt:variant>
        <vt:i4>7602249</vt:i4>
      </vt:variant>
      <vt:variant>
        <vt:i4>9</vt:i4>
      </vt:variant>
      <vt:variant>
        <vt:i4>0</vt:i4>
      </vt:variant>
      <vt:variant>
        <vt:i4>5</vt:i4>
      </vt:variant>
      <vt:variant>
        <vt:lpwstr>mailto:filipova@smocr.cz</vt:lpwstr>
      </vt:variant>
      <vt:variant>
        <vt:lpwstr/>
      </vt:variant>
      <vt:variant>
        <vt:i4>131160</vt:i4>
      </vt:variant>
      <vt:variant>
        <vt:i4>6</vt:i4>
      </vt:variant>
      <vt:variant>
        <vt:i4>0</vt:i4>
      </vt:variant>
      <vt:variant>
        <vt:i4>5</vt:i4>
      </vt:variant>
      <vt:variant>
        <vt:lpwstr>http://www.smocr.cz/cz/tiskovy-servis/tiskove-zpravy/svaz-a-partneri-chceme-zamezit-kradezim-a-nelegalnimu-vykupu-kovu-vydali-jsme-katalog-ktery-pomuze-pri-kontrolach-i-s-hledanim-ukradenych-veci.aspx</vt:lpwstr>
      </vt:variant>
      <vt:variant>
        <vt:lpwstr/>
      </vt:variant>
      <vt:variant>
        <vt:i4>1245271</vt:i4>
      </vt:variant>
      <vt:variant>
        <vt:i4>3</vt:i4>
      </vt:variant>
      <vt:variant>
        <vt:i4>0</vt:i4>
      </vt:variant>
      <vt:variant>
        <vt:i4>5</vt:i4>
      </vt:variant>
      <vt:variant>
        <vt:lpwstr>http://www.smocr.cz/cz/svaz-mest-a-obci-cr/organy-svazu/predseda/predseda-svazu.aspx</vt:lpwstr>
      </vt:variant>
      <vt:variant>
        <vt:lpwstr/>
      </vt:variant>
      <vt:variant>
        <vt:i4>131142</vt:i4>
      </vt:variant>
      <vt:variant>
        <vt:i4>0</vt:i4>
      </vt:variant>
      <vt:variant>
        <vt:i4>0</vt:i4>
      </vt:variant>
      <vt:variant>
        <vt:i4>5</vt:i4>
      </vt:variant>
      <vt:variant>
        <vt:lpwstr>http://www.mzp.cz/cz/ministr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Štěpánka Filipová</dc:creator>
  <cp:keywords/>
  <cp:lastModifiedBy>Petra Kubařová</cp:lastModifiedBy>
  <cp:revision>5</cp:revision>
  <dcterms:created xsi:type="dcterms:W3CDTF">2014-04-01T09:11:00Z</dcterms:created>
  <dcterms:modified xsi:type="dcterms:W3CDTF">2014-04-01T09:22:00Z</dcterms:modified>
</cp:coreProperties>
</file>