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BA18" w14:textId="0F1573D3" w:rsidR="008F30E8" w:rsidRPr="005470B8" w:rsidRDefault="005C56AA" w:rsidP="00245B4A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5470B8">
        <w:rPr>
          <w:rFonts w:cs="Arial"/>
          <w:b/>
          <w:bCs/>
          <w:sz w:val="32"/>
          <w:szCs w:val="32"/>
        </w:rPr>
        <w:t xml:space="preserve">Projekt </w:t>
      </w:r>
      <w:r w:rsidR="008F30E8" w:rsidRPr="005470B8">
        <w:rPr>
          <w:rFonts w:cs="Arial"/>
          <w:b/>
          <w:bCs/>
          <w:sz w:val="32"/>
          <w:szCs w:val="32"/>
        </w:rPr>
        <w:t>Zákon roku 2025</w:t>
      </w:r>
    </w:p>
    <w:p w14:paraId="49694E0B" w14:textId="77777777" w:rsidR="00245B4A" w:rsidRDefault="00245B4A" w:rsidP="00245B4A">
      <w:pPr>
        <w:spacing w:after="0"/>
        <w:jc w:val="center"/>
        <w:rPr>
          <w:rFonts w:cs="Arial"/>
          <w:b/>
          <w:bCs/>
        </w:rPr>
      </w:pPr>
    </w:p>
    <w:p w14:paraId="1C7408AA" w14:textId="4A0F5629" w:rsidR="008F30E8" w:rsidRPr="00245B4A" w:rsidRDefault="008F30E8" w:rsidP="00245B4A">
      <w:pPr>
        <w:spacing w:after="0"/>
        <w:jc w:val="center"/>
        <w:rPr>
          <w:rFonts w:cs="Arial"/>
          <w:b/>
          <w:bCs/>
          <w:sz w:val="26"/>
          <w:szCs w:val="26"/>
        </w:rPr>
      </w:pPr>
      <w:r w:rsidRPr="00245B4A">
        <w:rPr>
          <w:rFonts w:cs="Arial"/>
          <w:b/>
          <w:bCs/>
          <w:sz w:val="26"/>
          <w:szCs w:val="26"/>
        </w:rPr>
        <w:t>Nomin</w:t>
      </w:r>
      <w:r w:rsidR="0096580F" w:rsidRPr="00245B4A">
        <w:rPr>
          <w:rFonts w:cs="Arial"/>
          <w:b/>
          <w:bCs/>
          <w:sz w:val="26"/>
          <w:szCs w:val="26"/>
        </w:rPr>
        <w:t xml:space="preserve">ované zákony </w:t>
      </w:r>
      <w:r w:rsidR="00245B4A" w:rsidRPr="00245B4A">
        <w:rPr>
          <w:rFonts w:cs="Arial"/>
          <w:b/>
          <w:bCs/>
          <w:sz w:val="26"/>
          <w:szCs w:val="26"/>
        </w:rPr>
        <w:t>letošního ročníku</w:t>
      </w:r>
    </w:p>
    <w:p w14:paraId="65840E65" w14:textId="77777777" w:rsidR="00BF0BEA" w:rsidRPr="005470B8" w:rsidRDefault="00BF0BEA" w:rsidP="00E13484">
      <w:pPr>
        <w:rPr>
          <w:rFonts w:cs="Arial"/>
          <w:b/>
          <w:bCs/>
          <w:sz w:val="25"/>
          <w:szCs w:val="28"/>
        </w:rPr>
      </w:pPr>
    </w:p>
    <w:p w14:paraId="1AF2387D" w14:textId="17B9A208" w:rsidR="008F30E8" w:rsidRPr="005470B8" w:rsidRDefault="00214D1A" w:rsidP="0029532B">
      <w:pPr>
        <w:jc w:val="center"/>
        <w:rPr>
          <w:rFonts w:cs="Arial"/>
          <w:b/>
          <w:bCs/>
          <w:color w:val="196B24" w:themeColor="accent3"/>
          <w:sz w:val="28"/>
          <w:szCs w:val="28"/>
        </w:rPr>
      </w:pPr>
      <w:r w:rsidRPr="005470B8">
        <w:rPr>
          <w:rFonts w:cs="Arial"/>
          <w:b/>
          <w:bCs/>
          <w:color w:val="196B24" w:themeColor="accent3"/>
          <w:sz w:val="28"/>
          <w:szCs w:val="28"/>
        </w:rPr>
        <w:t xml:space="preserve">Kategorie </w:t>
      </w:r>
      <w:r w:rsidR="00BF0BEA" w:rsidRPr="005470B8">
        <w:rPr>
          <w:rFonts w:cs="Arial"/>
          <w:b/>
          <w:bCs/>
          <w:color w:val="196B24" w:themeColor="accent3"/>
          <w:sz w:val="28"/>
          <w:szCs w:val="28"/>
        </w:rPr>
        <w:t>Nejlepší zákon pro byznys</w:t>
      </w:r>
    </w:p>
    <w:p w14:paraId="0F014B58" w14:textId="77777777" w:rsidR="00056201" w:rsidRDefault="00056201" w:rsidP="00056201">
      <w:pPr>
        <w:pStyle w:val="NoSpacing"/>
      </w:pPr>
    </w:p>
    <w:p w14:paraId="7780E045" w14:textId="25C1986D" w:rsidR="00E13484" w:rsidRPr="00EF5EFD" w:rsidRDefault="00E13484" w:rsidP="00E13484">
      <w:pPr>
        <w:rPr>
          <w:rFonts w:cs="Arial"/>
          <w:b/>
          <w:bCs/>
        </w:rPr>
      </w:pPr>
      <w:r w:rsidRPr="00EF5EFD">
        <w:rPr>
          <w:rFonts w:cs="Arial"/>
          <w:b/>
          <w:bCs/>
        </w:rPr>
        <w:t>Flexibilnější pracovní trh a moderní pracovní vztahy</w:t>
      </w:r>
    </w:p>
    <w:p w14:paraId="4DC5229D" w14:textId="7636B4FE" w:rsidR="0059380C" w:rsidRPr="00EF5EFD" w:rsidRDefault="00E13484" w:rsidP="0059380C">
      <w:pPr>
        <w:rPr>
          <w:rFonts w:cs="Arial"/>
          <w:sz w:val="21"/>
          <w:szCs w:val="21"/>
        </w:rPr>
      </w:pPr>
      <w:r w:rsidRPr="00EF5EFD">
        <w:rPr>
          <w:rFonts w:cs="Arial"/>
          <w:sz w:val="21"/>
          <w:szCs w:val="21"/>
        </w:rPr>
        <w:t>Novela zákoníku práce</w:t>
      </w:r>
      <w:r w:rsidR="00A83927" w:rsidRPr="00EF5EFD">
        <w:rPr>
          <w:rFonts w:cs="Arial"/>
          <w:sz w:val="21"/>
          <w:szCs w:val="21"/>
        </w:rPr>
        <w:t xml:space="preserve">, tzv. </w:t>
      </w:r>
      <w:proofErr w:type="spellStart"/>
      <w:r w:rsidR="00F77594">
        <w:rPr>
          <w:rFonts w:cs="Arial"/>
          <w:sz w:val="21"/>
          <w:szCs w:val="21"/>
        </w:rPr>
        <w:t>f</w:t>
      </w:r>
      <w:r w:rsidR="00A83927" w:rsidRPr="00EF5EFD">
        <w:rPr>
          <w:rFonts w:cs="Arial"/>
          <w:sz w:val="21"/>
          <w:szCs w:val="21"/>
        </w:rPr>
        <w:t>lexinovela</w:t>
      </w:r>
      <w:proofErr w:type="spellEnd"/>
      <w:r w:rsidR="00A83927" w:rsidRPr="00EF5EFD">
        <w:rPr>
          <w:rFonts w:cs="Arial"/>
          <w:sz w:val="21"/>
          <w:szCs w:val="21"/>
        </w:rPr>
        <w:t>,</w:t>
      </w:r>
      <w:r w:rsidRPr="00EF5EFD">
        <w:rPr>
          <w:rFonts w:cs="Arial"/>
          <w:sz w:val="21"/>
          <w:szCs w:val="21"/>
        </w:rPr>
        <w:t xml:space="preserve"> přináší větší flexibilitu pro zaměstnavatele i zaměstnance – umožňuje delší zkušební dobu, modernizuje pravidla doručování dokumentů a usnadňuje návrat rodičů do práce. Podporuje tak adaptabilitu firem a posiluje smluvní volnost v pracovněprávních vztazích, což usnadňuje řízení lidských zdrojů a zvyšuje konkurenceschopnost podniků.</w:t>
      </w:r>
      <w:r w:rsidR="0059380C" w:rsidRPr="00EF5EFD">
        <w:rPr>
          <w:rFonts w:cs="Arial"/>
          <w:sz w:val="21"/>
          <w:szCs w:val="21"/>
        </w:rPr>
        <w:t xml:space="preserve"> Při přípravě novely vedlo Ministerstvo práce a sociálních věcí ČR rozsáhlé konzultace s odbornou veřejností a sociálními partnery.</w:t>
      </w:r>
    </w:p>
    <w:p w14:paraId="2A77A9D7" w14:textId="77777777" w:rsidR="008F30E8" w:rsidRPr="00EF5EFD" w:rsidRDefault="00A83927" w:rsidP="00E13484">
      <w:pPr>
        <w:rPr>
          <w:rFonts w:cs="Arial"/>
          <w:i/>
          <w:iCs/>
          <w:sz w:val="21"/>
          <w:szCs w:val="21"/>
        </w:rPr>
      </w:pPr>
      <w:r w:rsidRPr="00EF5EFD">
        <w:rPr>
          <w:rFonts w:cs="Arial"/>
          <w:i/>
          <w:iCs/>
          <w:sz w:val="21"/>
          <w:szCs w:val="21"/>
        </w:rPr>
        <w:t xml:space="preserve">Zákon č. 120/2025 Sb., kterým se mění zákon č. 262/2006 Sb., zákoník práce, ve znění pozdějších předpisů, a některé další zákony </w:t>
      </w:r>
    </w:p>
    <w:p w14:paraId="434187F5" w14:textId="77777777" w:rsidR="00E13484" w:rsidRPr="00EF5EFD" w:rsidRDefault="00E13484" w:rsidP="00E13484">
      <w:pPr>
        <w:rPr>
          <w:rFonts w:cs="Arial"/>
          <w:sz w:val="21"/>
          <w:szCs w:val="21"/>
        </w:rPr>
      </w:pPr>
    </w:p>
    <w:p w14:paraId="02426CDF" w14:textId="0A75D1F1" w:rsidR="00E13484" w:rsidRPr="00EF5EFD" w:rsidRDefault="00E13484" w:rsidP="00E13484">
      <w:pPr>
        <w:rPr>
          <w:rFonts w:cs="Arial"/>
          <w:b/>
          <w:bCs/>
        </w:rPr>
      </w:pPr>
      <w:r w:rsidRPr="00EF5EFD">
        <w:rPr>
          <w:rFonts w:cs="Arial"/>
          <w:b/>
          <w:bCs/>
        </w:rPr>
        <w:t>Průlom v digitalizaci finančního trhu</w:t>
      </w:r>
    </w:p>
    <w:p w14:paraId="49574E93" w14:textId="269DD67A" w:rsidR="00E13484" w:rsidRPr="00EF5EFD" w:rsidRDefault="00E13484" w:rsidP="00E13484">
      <w:pPr>
        <w:rPr>
          <w:rFonts w:cs="Arial"/>
          <w:sz w:val="21"/>
          <w:szCs w:val="21"/>
        </w:rPr>
      </w:pPr>
      <w:r w:rsidRPr="00EF5EFD">
        <w:rPr>
          <w:rFonts w:cs="Arial"/>
          <w:sz w:val="21"/>
          <w:szCs w:val="21"/>
        </w:rPr>
        <w:t xml:space="preserve">Nový zákon sjednocuje pravidla pro digitální finance, implementuje evropské standardy (MiCA, DORA) a zavádí jasný rámec pro kryptoaktiva. Posiluje dohled, právní jistotu a předvídatelnost pro podniky, které chtějí inovovat v oblasti digitálních financí, a usnadňuje vstup na trh s digitálními aktivy. </w:t>
      </w:r>
    </w:p>
    <w:p w14:paraId="4F1F6E8F" w14:textId="77777777" w:rsidR="008F30E8" w:rsidRPr="00EF5EFD" w:rsidRDefault="00A83927" w:rsidP="00A83927">
      <w:pPr>
        <w:rPr>
          <w:rFonts w:cs="Arial"/>
          <w:i/>
          <w:iCs/>
          <w:sz w:val="21"/>
          <w:szCs w:val="21"/>
        </w:rPr>
      </w:pPr>
      <w:r w:rsidRPr="00EF5EFD">
        <w:rPr>
          <w:rFonts w:cs="Arial"/>
          <w:i/>
          <w:iCs/>
          <w:sz w:val="21"/>
          <w:szCs w:val="21"/>
        </w:rPr>
        <w:t xml:space="preserve">Zákon č. 31/2025 Sb., o implementaci předpisů Evropské unie v oblasti digitalizace finančního trhu (zákon o digitalizaci finančního trhu) </w:t>
      </w:r>
    </w:p>
    <w:p w14:paraId="1ED6DB6B" w14:textId="77777777" w:rsidR="0059380C" w:rsidRPr="00EF5EFD" w:rsidRDefault="0059380C" w:rsidP="00E13484">
      <w:pPr>
        <w:rPr>
          <w:rFonts w:cs="Arial"/>
          <w:i/>
          <w:iCs/>
          <w:sz w:val="21"/>
          <w:szCs w:val="21"/>
        </w:rPr>
      </w:pPr>
    </w:p>
    <w:p w14:paraId="6BA75019" w14:textId="57BE34D6" w:rsidR="00E13484" w:rsidRPr="00EF5EFD" w:rsidRDefault="00E13484" w:rsidP="00E13484">
      <w:pPr>
        <w:rPr>
          <w:rFonts w:cs="Arial"/>
          <w:b/>
          <w:bCs/>
        </w:rPr>
      </w:pPr>
      <w:r w:rsidRPr="00EF5EFD">
        <w:rPr>
          <w:rFonts w:cs="Arial"/>
          <w:b/>
          <w:bCs/>
        </w:rPr>
        <w:t>Jednodušší prodej investic bez objemových limitů</w:t>
      </w:r>
    </w:p>
    <w:p w14:paraId="0CB8B284" w14:textId="3DDAEC9B" w:rsidR="00E13484" w:rsidRPr="00EF5EFD" w:rsidRDefault="00E13484" w:rsidP="00E13484">
      <w:pPr>
        <w:rPr>
          <w:rFonts w:cs="Arial"/>
          <w:sz w:val="21"/>
          <w:szCs w:val="21"/>
        </w:rPr>
      </w:pPr>
      <w:r w:rsidRPr="00EF5EFD">
        <w:rPr>
          <w:rFonts w:cs="Arial"/>
          <w:sz w:val="21"/>
          <w:szCs w:val="21"/>
        </w:rPr>
        <w:t>Zrušení souhrnného limitu pro osvobození příjmů z prodeje cenných papírů a podílů znamená, že osvobození závisí pouze na délce držby, nikoli na výši příjmu. Podnikatel</w:t>
      </w:r>
      <w:r w:rsidR="00467719">
        <w:rPr>
          <w:rFonts w:cs="Arial"/>
          <w:sz w:val="21"/>
          <w:szCs w:val="21"/>
        </w:rPr>
        <w:t>ům tak novela přinese</w:t>
      </w:r>
      <w:r w:rsidRPr="00EF5EFD">
        <w:rPr>
          <w:rFonts w:cs="Arial"/>
          <w:sz w:val="21"/>
          <w:szCs w:val="21"/>
        </w:rPr>
        <w:t xml:space="preserve"> větší předvídatelnost, jednodušší administrativu a volnější ruce při strategickém rozhodování o investicích. </w:t>
      </w:r>
    </w:p>
    <w:p w14:paraId="0B028FD4" w14:textId="3B320374" w:rsidR="00E13484" w:rsidRPr="00EF5EFD" w:rsidRDefault="001350AF" w:rsidP="00E13484">
      <w:pPr>
        <w:rPr>
          <w:rFonts w:cs="Arial"/>
          <w:sz w:val="21"/>
          <w:szCs w:val="21"/>
        </w:rPr>
      </w:pPr>
      <w:r w:rsidRPr="00EF5EFD">
        <w:rPr>
          <w:rFonts w:cs="Arial"/>
          <w:i/>
          <w:iCs/>
          <w:sz w:val="21"/>
          <w:szCs w:val="21"/>
        </w:rPr>
        <w:t xml:space="preserve">Novela </w:t>
      </w:r>
      <w:r w:rsidR="005718E3" w:rsidRPr="00EF5EFD">
        <w:rPr>
          <w:rFonts w:cs="Arial"/>
          <w:i/>
          <w:iCs/>
          <w:sz w:val="21"/>
          <w:szCs w:val="21"/>
        </w:rPr>
        <w:t>z</w:t>
      </w:r>
      <w:r w:rsidR="00186701" w:rsidRPr="00EF5EFD">
        <w:rPr>
          <w:rFonts w:cs="Arial"/>
          <w:i/>
          <w:iCs/>
          <w:sz w:val="21"/>
          <w:szCs w:val="21"/>
        </w:rPr>
        <w:t>ákon</w:t>
      </w:r>
      <w:r w:rsidR="005718E3" w:rsidRPr="00EF5EFD">
        <w:rPr>
          <w:rFonts w:cs="Arial"/>
          <w:i/>
          <w:iCs/>
          <w:sz w:val="21"/>
          <w:szCs w:val="21"/>
        </w:rPr>
        <w:t>a</w:t>
      </w:r>
      <w:r w:rsidR="00186701" w:rsidRPr="00EF5EFD">
        <w:rPr>
          <w:rFonts w:cs="Arial"/>
          <w:i/>
          <w:iCs/>
          <w:sz w:val="21"/>
          <w:szCs w:val="21"/>
        </w:rPr>
        <w:t xml:space="preserve"> č. 586/1992 Sb., o daních z</w:t>
      </w:r>
      <w:r w:rsidR="005A2E9F" w:rsidRPr="00EF5EFD">
        <w:rPr>
          <w:rFonts w:cs="Arial"/>
          <w:i/>
          <w:iCs/>
          <w:sz w:val="21"/>
          <w:szCs w:val="21"/>
        </w:rPr>
        <w:t> </w:t>
      </w:r>
      <w:r w:rsidR="00186701" w:rsidRPr="00EF5EFD">
        <w:rPr>
          <w:rFonts w:cs="Arial"/>
          <w:i/>
          <w:iCs/>
          <w:sz w:val="21"/>
          <w:szCs w:val="21"/>
        </w:rPr>
        <w:t>příjmů</w:t>
      </w:r>
      <w:r w:rsidR="005A2E9F" w:rsidRPr="00EF5EFD">
        <w:rPr>
          <w:rFonts w:cs="Arial"/>
          <w:i/>
          <w:iCs/>
          <w:sz w:val="21"/>
          <w:szCs w:val="21"/>
        </w:rPr>
        <w:t>,</w:t>
      </w:r>
      <w:r w:rsidR="00956F00" w:rsidRPr="00EF5EFD">
        <w:rPr>
          <w:rFonts w:cs="Arial"/>
          <w:i/>
          <w:iCs/>
          <w:sz w:val="21"/>
          <w:szCs w:val="21"/>
        </w:rPr>
        <w:t xml:space="preserve"> přijatá z</w:t>
      </w:r>
      <w:r w:rsidR="00A83927" w:rsidRPr="00EF5EFD">
        <w:rPr>
          <w:rFonts w:cs="Arial"/>
          <w:i/>
          <w:iCs/>
          <w:sz w:val="21"/>
          <w:szCs w:val="21"/>
        </w:rPr>
        <w:t>ákon</w:t>
      </w:r>
      <w:r w:rsidR="00956F00" w:rsidRPr="00EF5EFD">
        <w:rPr>
          <w:rFonts w:cs="Arial"/>
          <w:i/>
          <w:iCs/>
          <w:sz w:val="21"/>
          <w:szCs w:val="21"/>
        </w:rPr>
        <w:t>em</w:t>
      </w:r>
      <w:r w:rsidR="00A83927" w:rsidRPr="00EF5EFD">
        <w:rPr>
          <w:rFonts w:cs="Arial"/>
          <w:i/>
          <w:iCs/>
          <w:sz w:val="21"/>
          <w:szCs w:val="21"/>
        </w:rPr>
        <w:t xml:space="preserve"> č. 360/2025 Sb., kterým se mění některé zákony v souvislosti s přijetím zákona o jednotném měsíčním hlášení zaměstnavatele (ČÁST ČTVRTÁ)</w:t>
      </w:r>
    </w:p>
    <w:p w14:paraId="760C8D65" w14:textId="77777777" w:rsidR="0059380C" w:rsidRPr="00EF5EFD" w:rsidRDefault="0059380C" w:rsidP="00E13484">
      <w:pPr>
        <w:rPr>
          <w:rFonts w:cs="Arial"/>
          <w:sz w:val="21"/>
          <w:szCs w:val="21"/>
        </w:rPr>
      </w:pPr>
    </w:p>
    <w:p w14:paraId="3DCA0132" w14:textId="77777777" w:rsidR="00E13484" w:rsidRPr="00EF5EFD" w:rsidRDefault="00E13484" w:rsidP="00E13484">
      <w:pPr>
        <w:rPr>
          <w:rFonts w:cs="Arial"/>
          <w:sz w:val="21"/>
          <w:szCs w:val="21"/>
        </w:rPr>
      </w:pPr>
    </w:p>
    <w:p w14:paraId="38B36C0E" w14:textId="122D759B" w:rsidR="00E13484" w:rsidRPr="00EF5EFD" w:rsidRDefault="00E13484" w:rsidP="00E13484">
      <w:pPr>
        <w:rPr>
          <w:rFonts w:cs="Arial"/>
          <w:b/>
          <w:bCs/>
        </w:rPr>
      </w:pPr>
      <w:r w:rsidRPr="00EF5EFD">
        <w:rPr>
          <w:rFonts w:cs="Arial"/>
          <w:b/>
          <w:bCs/>
        </w:rPr>
        <w:t>Silnější evropský obranný průmysl – nové příležitosti pro firmy</w:t>
      </w:r>
    </w:p>
    <w:p w14:paraId="56452AE1" w14:textId="7984D901" w:rsidR="00E13484" w:rsidRPr="00EF5EFD" w:rsidRDefault="00E13484" w:rsidP="00E13484">
      <w:pPr>
        <w:rPr>
          <w:rFonts w:cs="Arial"/>
          <w:sz w:val="21"/>
          <w:szCs w:val="21"/>
        </w:rPr>
      </w:pPr>
      <w:r w:rsidRPr="00EF5EFD">
        <w:rPr>
          <w:rFonts w:cs="Arial"/>
          <w:sz w:val="21"/>
          <w:szCs w:val="21"/>
        </w:rPr>
        <w:t>Evropský rámec pro posílení obranného průmyslu přináší přímou podporu výroby, investiční pobídky a nové finanční nástroje</w:t>
      </w:r>
      <w:r w:rsidR="00A67019" w:rsidRPr="00EF5EFD">
        <w:rPr>
          <w:rFonts w:cs="Arial"/>
          <w:sz w:val="21"/>
          <w:szCs w:val="21"/>
        </w:rPr>
        <w:t xml:space="preserve"> v této oblasti</w:t>
      </w:r>
      <w:r w:rsidRPr="00EF5EFD">
        <w:rPr>
          <w:rFonts w:cs="Arial"/>
          <w:sz w:val="21"/>
          <w:szCs w:val="21"/>
        </w:rPr>
        <w:t xml:space="preserve">. Zvyšuje stabilitu poptávky, snižuje investiční rizika a podporuje </w:t>
      </w:r>
      <w:r w:rsidRPr="00EF5EFD">
        <w:rPr>
          <w:rFonts w:cs="Arial"/>
          <w:sz w:val="21"/>
          <w:szCs w:val="21"/>
        </w:rPr>
        <w:lastRenderedPageBreak/>
        <w:t>inovace i rozvoj výrobních kapacit</w:t>
      </w:r>
      <w:r w:rsidR="0059380C" w:rsidRPr="00EF5EFD">
        <w:rPr>
          <w:rFonts w:cs="Arial"/>
          <w:sz w:val="21"/>
          <w:szCs w:val="21"/>
        </w:rPr>
        <w:t xml:space="preserve"> v obranném průmyslu</w:t>
      </w:r>
      <w:r w:rsidRPr="00EF5EFD">
        <w:rPr>
          <w:rFonts w:cs="Arial"/>
          <w:sz w:val="21"/>
          <w:szCs w:val="21"/>
        </w:rPr>
        <w:t xml:space="preserve">, což otevírá nové možnosti i pro firmy zapojené do dodavatelských řetězců. </w:t>
      </w:r>
    </w:p>
    <w:p w14:paraId="58A447E5" w14:textId="6B940C4B" w:rsidR="00B83AE0" w:rsidRPr="00EF5EFD" w:rsidRDefault="00B83AE0" w:rsidP="00A83927">
      <w:pPr>
        <w:rPr>
          <w:rFonts w:cs="Arial"/>
          <w:i/>
          <w:iCs/>
          <w:sz w:val="21"/>
          <w:szCs w:val="21"/>
        </w:rPr>
      </w:pPr>
      <w:r w:rsidRPr="00B83AE0">
        <w:rPr>
          <w:rFonts w:cs="Arial"/>
          <w:i/>
          <w:iCs/>
          <w:sz w:val="21"/>
          <w:szCs w:val="21"/>
        </w:rPr>
        <w:t>Nařízení Evropského parlamentu a Rady (EU) 2025/2643 ze dne</w:t>
      </w:r>
      <w:r w:rsidR="003103D4">
        <w:rPr>
          <w:rFonts w:cs="Arial"/>
          <w:i/>
          <w:iCs/>
          <w:sz w:val="21"/>
          <w:szCs w:val="21"/>
        </w:rPr>
        <w:t xml:space="preserve"> </w:t>
      </w:r>
      <w:r w:rsidRPr="00B83AE0">
        <w:rPr>
          <w:rFonts w:cs="Arial"/>
          <w:i/>
          <w:iCs/>
          <w:sz w:val="21"/>
          <w:szCs w:val="21"/>
        </w:rPr>
        <w:t xml:space="preserve">16. prosince 2025, kterým se zřizuje Program pro evropský obranný průmysl a rámec opatření pro zajištění včasné dostupnosti a dodávek obranných produktů a </w:t>
      </w:r>
      <w:r w:rsidR="00BB40C3">
        <w:rPr>
          <w:rFonts w:cs="Arial"/>
          <w:i/>
          <w:iCs/>
          <w:sz w:val="21"/>
          <w:szCs w:val="21"/>
        </w:rPr>
        <w:t>n</w:t>
      </w:r>
      <w:r w:rsidRPr="00B83AE0">
        <w:rPr>
          <w:rFonts w:cs="Arial"/>
          <w:i/>
          <w:iCs/>
          <w:sz w:val="21"/>
          <w:szCs w:val="21"/>
        </w:rPr>
        <w:t>ařízení Rady (EU) 2025/1106 ze dne 27. května 2025, kterým se zřizuje nástroj Bezpečnostní akce pro Evropu (SAFE) prostřednictvím posílení evropského obranného průmyslu</w:t>
      </w:r>
    </w:p>
    <w:p w14:paraId="5A88682A" w14:textId="77777777" w:rsidR="00E13484" w:rsidRPr="00EF5EFD" w:rsidRDefault="00E13484" w:rsidP="00E13484">
      <w:pPr>
        <w:rPr>
          <w:rFonts w:cs="Arial"/>
          <w:sz w:val="21"/>
          <w:szCs w:val="21"/>
        </w:rPr>
      </w:pPr>
    </w:p>
    <w:p w14:paraId="368AD2C1" w14:textId="08376C05" w:rsidR="00E13484" w:rsidRPr="00EF5EFD" w:rsidRDefault="00E13484" w:rsidP="00E13484">
      <w:pPr>
        <w:rPr>
          <w:rFonts w:cs="Arial"/>
          <w:b/>
          <w:bCs/>
        </w:rPr>
      </w:pPr>
      <w:r w:rsidRPr="00EF5EFD">
        <w:rPr>
          <w:rFonts w:cs="Arial"/>
          <w:b/>
          <w:bCs/>
        </w:rPr>
        <w:t>Posílení důvěrnosti komunikace s advokátem</w:t>
      </w:r>
    </w:p>
    <w:p w14:paraId="06C407DD" w14:textId="328DB2CE" w:rsidR="00E13484" w:rsidRPr="00EF5EFD" w:rsidRDefault="00E13484" w:rsidP="00E13484">
      <w:pPr>
        <w:rPr>
          <w:rFonts w:cs="Arial"/>
          <w:sz w:val="21"/>
          <w:szCs w:val="21"/>
        </w:rPr>
      </w:pPr>
      <w:r w:rsidRPr="00EF5EFD">
        <w:rPr>
          <w:rFonts w:cs="Arial"/>
          <w:sz w:val="21"/>
          <w:szCs w:val="21"/>
        </w:rPr>
        <w:t xml:space="preserve">Novela zákona </w:t>
      </w:r>
      <w:r w:rsidR="00A67019" w:rsidRPr="00EF5EFD">
        <w:rPr>
          <w:rFonts w:cs="Arial"/>
          <w:sz w:val="21"/>
          <w:szCs w:val="21"/>
        </w:rPr>
        <w:t>výslovně posiluje</w:t>
      </w:r>
      <w:r w:rsidRPr="00EF5EFD">
        <w:rPr>
          <w:rFonts w:cs="Arial"/>
          <w:sz w:val="21"/>
          <w:szCs w:val="21"/>
        </w:rPr>
        <w:t xml:space="preserve"> ochranu důvěrnosti mezi advokátem a klientem </w:t>
      </w:r>
      <w:r w:rsidR="00322C3E" w:rsidRPr="00EF5EFD">
        <w:rPr>
          <w:rFonts w:cs="Arial"/>
          <w:sz w:val="21"/>
          <w:szCs w:val="21"/>
        </w:rPr>
        <w:t>a nově také mezi advokátem a podezřelým v trestním řízení. Úprava zvyšuje bezpečnost při sdělování citlivých informací advokátům, omezuje riziko jejich zneužití třetími stranami a posiluje právní jistotu podnikatelů při řešení jejich obchodních a dalších právních záležitostí s advokáty.</w:t>
      </w:r>
    </w:p>
    <w:p w14:paraId="326188F6" w14:textId="082C1D38" w:rsidR="008F30E8" w:rsidRPr="00EF5EFD" w:rsidRDefault="00ED2634" w:rsidP="00A83927">
      <w:pPr>
        <w:rPr>
          <w:rFonts w:cs="Arial"/>
          <w:i/>
          <w:iCs/>
          <w:sz w:val="21"/>
          <w:szCs w:val="21"/>
        </w:rPr>
      </w:pPr>
      <w:r w:rsidRPr="00EF5EFD">
        <w:rPr>
          <w:rFonts w:cs="Arial"/>
          <w:i/>
          <w:iCs/>
          <w:sz w:val="21"/>
          <w:szCs w:val="21"/>
        </w:rPr>
        <w:t xml:space="preserve">Novela § </w:t>
      </w:r>
      <w:r w:rsidR="008B6A57" w:rsidRPr="00EF5EFD">
        <w:rPr>
          <w:rFonts w:cs="Arial"/>
          <w:i/>
          <w:iCs/>
          <w:sz w:val="21"/>
          <w:szCs w:val="21"/>
        </w:rPr>
        <w:t xml:space="preserve">3a zákona č. 85/1996 Sb., o advokacii, přijatá </w:t>
      </w:r>
      <w:r w:rsidR="002725B0">
        <w:rPr>
          <w:rFonts w:cs="Arial"/>
          <w:i/>
          <w:iCs/>
          <w:sz w:val="21"/>
          <w:szCs w:val="21"/>
        </w:rPr>
        <w:t>z</w:t>
      </w:r>
      <w:r w:rsidR="00A83927" w:rsidRPr="00EF5EFD">
        <w:rPr>
          <w:rFonts w:cs="Arial"/>
          <w:i/>
          <w:iCs/>
          <w:sz w:val="21"/>
          <w:szCs w:val="21"/>
        </w:rPr>
        <w:t>ákon</w:t>
      </w:r>
      <w:r w:rsidR="008B6A57" w:rsidRPr="00EF5EFD">
        <w:rPr>
          <w:rFonts w:cs="Arial"/>
          <w:i/>
          <w:iCs/>
          <w:sz w:val="21"/>
          <w:szCs w:val="21"/>
        </w:rPr>
        <w:t>em</w:t>
      </w:r>
      <w:r w:rsidR="00A83927" w:rsidRPr="00EF5EFD">
        <w:rPr>
          <w:rFonts w:cs="Arial"/>
          <w:i/>
          <w:iCs/>
          <w:sz w:val="21"/>
          <w:szCs w:val="21"/>
        </w:rPr>
        <w:t xml:space="preserve"> č. 73/2025 Sb., kterým se mění zákon č. 85/1996 Sb., o advokacii, ve znění pozdějších předpisů, a některé další zákony a </w:t>
      </w:r>
      <w:r w:rsidR="00466F03">
        <w:rPr>
          <w:rFonts w:cs="Arial"/>
          <w:i/>
          <w:iCs/>
          <w:sz w:val="21"/>
          <w:szCs w:val="21"/>
        </w:rPr>
        <w:t>n</w:t>
      </w:r>
      <w:r w:rsidR="000F2A73" w:rsidRPr="00EF5EFD">
        <w:rPr>
          <w:rFonts w:cs="Arial"/>
          <w:i/>
          <w:iCs/>
          <w:sz w:val="21"/>
          <w:szCs w:val="21"/>
        </w:rPr>
        <w:t>ovela § 35a zákona č. 141/1961 Sb., o trestním řízení soudním (trestní řád), přijatá z</w:t>
      </w:r>
      <w:r w:rsidR="00A83927" w:rsidRPr="00EF5EFD">
        <w:rPr>
          <w:rFonts w:cs="Arial"/>
          <w:i/>
          <w:iCs/>
          <w:sz w:val="21"/>
          <w:szCs w:val="21"/>
        </w:rPr>
        <w:t>ákon</w:t>
      </w:r>
      <w:r w:rsidR="000F2A73" w:rsidRPr="00EF5EFD">
        <w:rPr>
          <w:rFonts w:cs="Arial"/>
          <w:i/>
          <w:iCs/>
          <w:sz w:val="21"/>
          <w:szCs w:val="21"/>
        </w:rPr>
        <w:t>em</w:t>
      </w:r>
      <w:r w:rsidR="00A83927" w:rsidRPr="00EF5EFD">
        <w:rPr>
          <w:rFonts w:cs="Arial"/>
          <w:i/>
          <w:iCs/>
          <w:sz w:val="21"/>
          <w:szCs w:val="21"/>
        </w:rPr>
        <w:t xml:space="preserve"> č. 270/2025 Sb., kterým se mění zákon č. 40/2009 Sb., trestní zákoník, ve znění pozdějších předpisů, zákon č. 141/1961 Sb., o trestním řízení soudním (trestní řád), ve znění pozdějších předpisů, a další související zákony </w:t>
      </w:r>
    </w:p>
    <w:p w14:paraId="69C53D49" w14:textId="77777777" w:rsidR="00BF0BEA" w:rsidRPr="00EF5EFD" w:rsidRDefault="00BF0BEA" w:rsidP="00E13484">
      <w:pPr>
        <w:rPr>
          <w:rFonts w:cs="Arial"/>
          <w:b/>
          <w:bCs/>
        </w:rPr>
      </w:pPr>
    </w:p>
    <w:p w14:paraId="56625577" w14:textId="48CA29B9" w:rsidR="00E13484" w:rsidRPr="00EF5EFD" w:rsidRDefault="00E13484" w:rsidP="00E13484">
      <w:pPr>
        <w:rPr>
          <w:rFonts w:cs="Arial"/>
          <w:b/>
          <w:bCs/>
        </w:rPr>
      </w:pPr>
      <w:r w:rsidRPr="00EF5EFD">
        <w:rPr>
          <w:rFonts w:cs="Arial"/>
          <w:b/>
          <w:bCs/>
        </w:rPr>
        <w:t>Moderní evropská pravidla DPH pro digitální ekonomiku</w:t>
      </w:r>
    </w:p>
    <w:p w14:paraId="13A60CAF" w14:textId="7500AAB8" w:rsidR="000320F0" w:rsidRPr="00EF5EFD" w:rsidRDefault="00E13484" w:rsidP="00E13484">
      <w:pPr>
        <w:rPr>
          <w:rFonts w:cs="Arial"/>
          <w:sz w:val="21"/>
          <w:szCs w:val="21"/>
        </w:rPr>
      </w:pPr>
      <w:r w:rsidRPr="00EF5EFD">
        <w:rPr>
          <w:rFonts w:cs="Arial"/>
          <w:sz w:val="21"/>
          <w:szCs w:val="21"/>
        </w:rPr>
        <w:t>Balíček ViDA modernizuje pravidla DPH – zavádí elektronickou fakturaci, rychlejší předávání dat a posiluje odpovědnost digitálních platforem. Podnikate</w:t>
      </w:r>
      <w:r w:rsidR="001B2182">
        <w:rPr>
          <w:rFonts w:cs="Arial"/>
          <w:sz w:val="21"/>
          <w:szCs w:val="21"/>
        </w:rPr>
        <w:t>lům přináší</w:t>
      </w:r>
      <w:r w:rsidRPr="00EF5EFD">
        <w:rPr>
          <w:rFonts w:cs="Arial"/>
          <w:sz w:val="21"/>
          <w:szCs w:val="21"/>
        </w:rPr>
        <w:t xml:space="preserve"> snížení administrativní zátěže, </w:t>
      </w:r>
      <w:r w:rsidR="00E1519A">
        <w:rPr>
          <w:rFonts w:cs="Arial"/>
          <w:sz w:val="21"/>
          <w:szCs w:val="21"/>
        </w:rPr>
        <w:t>z</w:t>
      </w:r>
      <w:r w:rsidRPr="00EF5EFD">
        <w:rPr>
          <w:rFonts w:cs="Arial"/>
          <w:sz w:val="21"/>
          <w:szCs w:val="21"/>
        </w:rPr>
        <w:t>jednoduš</w:t>
      </w:r>
      <w:r w:rsidR="00E1519A">
        <w:rPr>
          <w:rFonts w:cs="Arial"/>
          <w:sz w:val="21"/>
          <w:szCs w:val="21"/>
        </w:rPr>
        <w:t>ení</w:t>
      </w:r>
      <w:r w:rsidRPr="00EF5EFD">
        <w:rPr>
          <w:rFonts w:cs="Arial"/>
          <w:sz w:val="21"/>
          <w:szCs w:val="21"/>
        </w:rPr>
        <w:t xml:space="preserve"> přeshraničního obchodu a větší právní jistot</w:t>
      </w:r>
      <w:r w:rsidR="00D841BD">
        <w:rPr>
          <w:rFonts w:cs="Arial"/>
          <w:sz w:val="21"/>
          <w:szCs w:val="21"/>
        </w:rPr>
        <w:t>u</w:t>
      </w:r>
      <w:r w:rsidRPr="00EF5EFD">
        <w:rPr>
          <w:rFonts w:cs="Arial"/>
          <w:sz w:val="21"/>
          <w:szCs w:val="21"/>
        </w:rPr>
        <w:t xml:space="preserve"> v digitálním prostředí.</w:t>
      </w:r>
    </w:p>
    <w:p w14:paraId="5F915A43" w14:textId="50ABE3E2" w:rsidR="00A67019" w:rsidRDefault="00A83927" w:rsidP="00A83927">
      <w:pPr>
        <w:rPr>
          <w:rFonts w:cs="Arial"/>
          <w:i/>
          <w:iCs/>
          <w:sz w:val="21"/>
          <w:szCs w:val="21"/>
        </w:rPr>
      </w:pPr>
      <w:r w:rsidRPr="00EF5EFD">
        <w:rPr>
          <w:rFonts w:cs="Arial"/>
          <w:i/>
          <w:iCs/>
          <w:sz w:val="21"/>
          <w:szCs w:val="21"/>
        </w:rPr>
        <w:t xml:space="preserve">Směrnice Rady (EU) 2025/516 ze dne 11. března 2025, kterou se mění směrnice 2006/112/ES, pokud jde o pravidla DPH pro digitální věk a </w:t>
      </w:r>
      <w:r w:rsidR="00CD1A77">
        <w:rPr>
          <w:rFonts w:cs="Arial"/>
          <w:i/>
          <w:iCs/>
          <w:sz w:val="21"/>
          <w:szCs w:val="21"/>
        </w:rPr>
        <w:t>n</w:t>
      </w:r>
      <w:r w:rsidRPr="00EF5EFD">
        <w:rPr>
          <w:rFonts w:cs="Arial"/>
          <w:i/>
          <w:iCs/>
          <w:sz w:val="21"/>
          <w:szCs w:val="21"/>
        </w:rPr>
        <w:t>ařízení Rady (EU) 2025/517 ze dne 11. března 2025, kterým se mění nařízení (EU) č. 904/2010, pokud jde o ujednání o správní spolupráci v oblasti DPH potřebná pro digitální věk</w:t>
      </w:r>
    </w:p>
    <w:p w14:paraId="24096802" w14:textId="77777777" w:rsidR="0096580F" w:rsidRPr="00EF5EFD" w:rsidRDefault="0096580F" w:rsidP="00A83927">
      <w:pPr>
        <w:rPr>
          <w:rFonts w:cs="Arial"/>
          <w:i/>
          <w:iCs/>
          <w:sz w:val="21"/>
          <w:szCs w:val="21"/>
        </w:rPr>
      </w:pPr>
    </w:p>
    <w:p w14:paraId="32BBC745" w14:textId="77777777" w:rsidR="0096580F" w:rsidRDefault="0096580F">
      <w:pPr>
        <w:rPr>
          <w:rFonts w:cs="Arial"/>
          <w:b/>
          <w:bCs/>
          <w:color w:val="196B24" w:themeColor="accent3"/>
          <w:sz w:val="28"/>
          <w:szCs w:val="28"/>
        </w:rPr>
      </w:pPr>
      <w:r>
        <w:rPr>
          <w:rFonts w:cs="Arial"/>
          <w:b/>
          <w:bCs/>
          <w:color w:val="196B24" w:themeColor="accent3"/>
          <w:sz w:val="28"/>
          <w:szCs w:val="28"/>
        </w:rPr>
        <w:br w:type="page"/>
      </w:r>
    </w:p>
    <w:p w14:paraId="4D7D767B" w14:textId="08E5C2C2" w:rsidR="00BF0BEA" w:rsidRPr="005470B8" w:rsidRDefault="00214D1A" w:rsidP="0029532B">
      <w:pPr>
        <w:jc w:val="center"/>
        <w:rPr>
          <w:rFonts w:cs="Arial"/>
          <w:b/>
          <w:bCs/>
          <w:color w:val="196B24" w:themeColor="accent3"/>
          <w:sz w:val="28"/>
          <w:szCs w:val="28"/>
        </w:rPr>
      </w:pPr>
      <w:r w:rsidRPr="005470B8">
        <w:rPr>
          <w:rFonts w:cs="Arial"/>
          <w:b/>
          <w:bCs/>
          <w:color w:val="196B24" w:themeColor="accent3"/>
          <w:sz w:val="28"/>
          <w:szCs w:val="28"/>
        </w:rPr>
        <w:lastRenderedPageBreak/>
        <w:t xml:space="preserve">Kategorie </w:t>
      </w:r>
      <w:r w:rsidR="007C5525">
        <w:rPr>
          <w:rFonts w:cs="Arial"/>
          <w:b/>
          <w:bCs/>
          <w:color w:val="196B24" w:themeColor="accent3"/>
          <w:sz w:val="28"/>
          <w:szCs w:val="28"/>
        </w:rPr>
        <w:t>Legislativní p</w:t>
      </w:r>
      <w:r w:rsidR="00BF0BEA" w:rsidRPr="005470B8">
        <w:rPr>
          <w:rFonts w:cs="Arial"/>
          <w:b/>
          <w:bCs/>
          <w:color w:val="196B24" w:themeColor="accent3"/>
          <w:sz w:val="28"/>
          <w:szCs w:val="28"/>
        </w:rPr>
        <w:t>očin roku</w:t>
      </w:r>
    </w:p>
    <w:p w14:paraId="51B603E0" w14:textId="77777777" w:rsidR="00E51F8A" w:rsidRDefault="00E51F8A" w:rsidP="00E51F8A">
      <w:pPr>
        <w:pStyle w:val="NoSpacing"/>
      </w:pPr>
    </w:p>
    <w:p w14:paraId="0EA0646D" w14:textId="300883D3" w:rsidR="00BF0BEA" w:rsidRPr="00EF5EFD" w:rsidRDefault="00BF0BEA" w:rsidP="00364831">
      <w:pPr>
        <w:rPr>
          <w:rFonts w:cs="Arial"/>
          <w:sz w:val="21"/>
          <w:szCs w:val="21"/>
        </w:rPr>
      </w:pPr>
      <w:r w:rsidRPr="00EF5EFD">
        <w:rPr>
          <w:rFonts w:cs="Arial"/>
          <w:b/>
          <w:bCs/>
        </w:rPr>
        <w:t xml:space="preserve">Omnibus I – balíček úprav </w:t>
      </w:r>
      <w:r w:rsidR="005A20FD" w:rsidRPr="00EF5EFD">
        <w:rPr>
          <w:rFonts w:cs="Arial"/>
          <w:b/>
          <w:bCs/>
        </w:rPr>
        <w:t>ESG reportingu</w:t>
      </w:r>
    </w:p>
    <w:p w14:paraId="727BC338" w14:textId="316262D5" w:rsidR="001E7A6D" w:rsidRPr="00EF5EFD" w:rsidRDefault="001E7A6D" w:rsidP="00364831">
      <w:pPr>
        <w:spacing w:after="0" w:line="276" w:lineRule="auto"/>
        <w:rPr>
          <w:rFonts w:cs="Arial"/>
          <w:sz w:val="21"/>
          <w:szCs w:val="21"/>
        </w:rPr>
      </w:pPr>
      <w:r w:rsidRPr="00EF5EFD">
        <w:rPr>
          <w:rFonts w:cs="Arial"/>
          <w:sz w:val="21"/>
          <w:szCs w:val="21"/>
        </w:rPr>
        <w:t>Balíček dává podnikatelům více času na přípravu a sjednocuje termíny pro ESG reporting a další povinnosti v této oblasti. Nejde o zrušení povinností, ale o odklad a zjednodušení jejich zavádění u vybraných subjektů a posun přijetí sektorových standardů.</w:t>
      </w:r>
    </w:p>
    <w:p w14:paraId="4949586D" w14:textId="77777777" w:rsidR="001E7A6D" w:rsidRPr="00EF5EFD" w:rsidRDefault="001E7A6D" w:rsidP="00BF0BEA">
      <w:pPr>
        <w:spacing w:after="0" w:line="240" w:lineRule="auto"/>
        <w:rPr>
          <w:rFonts w:cs="Arial"/>
          <w:sz w:val="21"/>
          <w:szCs w:val="21"/>
        </w:rPr>
      </w:pPr>
    </w:p>
    <w:p w14:paraId="33A6F372" w14:textId="6C1BAA89" w:rsidR="00BF0BEA" w:rsidRPr="00EF5EFD" w:rsidRDefault="00BF0BEA" w:rsidP="00BF0BEA">
      <w:pPr>
        <w:spacing w:after="0" w:line="240" w:lineRule="auto"/>
        <w:rPr>
          <w:rFonts w:cs="Arial"/>
          <w:i/>
          <w:iCs/>
          <w:sz w:val="21"/>
          <w:szCs w:val="21"/>
        </w:rPr>
      </w:pPr>
      <w:r w:rsidRPr="00EF5EFD">
        <w:rPr>
          <w:rFonts w:cs="Arial"/>
          <w:i/>
          <w:iCs/>
          <w:sz w:val="21"/>
          <w:szCs w:val="21"/>
        </w:rPr>
        <w:t xml:space="preserve">Směrnice Evropského parlamentu a Rady (EU) 2025/794 ze dne 14. dubna 2025, kterou se mění směrnice (EU) 2022/2464 a (EU) 2024/1760, pokud jde o </w:t>
      </w:r>
      <w:r w:rsidR="00B6504D">
        <w:rPr>
          <w:rFonts w:cs="Arial"/>
          <w:i/>
          <w:iCs/>
          <w:sz w:val="21"/>
          <w:szCs w:val="21"/>
        </w:rPr>
        <w:t>termíny</w:t>
      </w:r>
      <w:r w:rsidRPr="00EF5EFD">
        <w:rPr>
          <w:rFonts w:cs="Arial"/>
          <w:i/>
          <w:iCs/>
          <w:sz w:val="21"/>
          <w:szCs w:val="21"/>
        </w:rPr>
        <w:t xml:space="preserve">, od </w:t>
      </w:r>
      <w:r w:rsidR="00C003AD">
        <w:rPr>
          <w:rFonts w:cs="Arial"/>
          <w:i/>
          <w:iCs/>
          <w:sz w:val="21"/>
          <w:szCs w:val="21"/>
        </w:rPr>
        <w:t>kdy</w:t>
      </w:r>
      <w:r w:rsidRPr="00EF5EFD">
        <w:rPr>
          <w:rFonts w:cs="Arial"/>
          <w:i/>
          <w:iCs/>
          <w:sz w:val="21"/>
          <w:szCs w:val="21"/>
        </w:rPr>
        <w:t xml:space="preserve"> mají členské státy uplatňovat některé požadavky na podávání zpráv podniků o udržitelnosti a náležitou péči podniků v oblasti udržitelnosti </w:t>
      </w:r>
    </w:p>
    <w:p w14:paraId="46276E67" w14:textId="77777777" w:rsidR="00BF0BEA" w:rsidRPr="00EF5EFD" w:rsidRDefault="00BF0BEA" w:rsidP="00BF0BEA">
      <w:pPr>
        <w:rPr>
          <w:rFonts w:cs="Arial"/>
          <w:b/>
          <w:bCs/>
        </w:rPr>
      </w:pPr>
    </w:p>
    <w:p w14:paraId="065F1D3C" w14:textId="3A396012" w:rsidR="00BF0BEA" w:rsidRPr="00EF5EFD" w:rsidRDefault="00BF0BEA" w:rsidP="00BF0BEA">
      <w:pPr>
        <w:rPr>
          <w:rFonts w:cs="Arial"/>
          <w:b/>
          <w:bCs/>
        </w:rPr>
      </w:pPr>
      <w:r w:rsidRPr="00EF5EFD">
        <w:rPr>
          <w:rFonts w:cs="Arial"/>
          <w:b/>
          <w:bCs/>
        </w:rPr>
        <w:t>Zjednodušení režimu CBAM prostřednictvím prahové hmotnostní výjimky</w:t>
      </w:r>
    </w:p>
    <w:p w14:paraId="78EF94B9" w14:textId="20780936" w:rsidR="00BF0BEA" w:rsidRPr="00EF5EFD" w:rsidRDefault="00BF0BEA" w:rsidP="00BF0BEA">
      <w:pPr>
        <w:rPr>
          <w:rFonts w:cs="Arial"/>
          <w:sz w:val="21"/>
          <w:szCs w:val="21"/>
        </w:rPr>
      </w:pPr>
      <w:r w:rsidRPr="00EF5EFD">
        <w:rPr>
          <w:rFonts w:cs="Arial"/>
          <w:sz w:val="21"/>
          <w:szCs w:val="21"/>
        </w:rPr>
        <w:t>Novela snižuje administrativní zátěž malých dovozců</w:t>
      </w:r>
      <w:r w:rsidR="00622B40" w:rsidRPr="00EF5EFD">
        <w:rPr>
          <w:rFonts w:cs="Arial"/>
          <w:sz w:val="21"/>
          <w:szCs w:val="21"/>
        </w:rPr>
        <w:t xml:space="preserve"> železa a oceli, hliníku, cementu a hnojiv</w:t>
      </w:r>
      <w:r w:rsidRPr="00EF5EFD">
        <w:rPr>
          <w:rFonts w:cs="Arial"/>
          <w:sz w:val="21"/>
          <w:szCs w:val="21"/>
        </w:rPr>
        <w:t xml:space="preserve"> při zachování pokrytí více než 99 % celkových emisí. Změna reflektuje zkušenosti z přechodného období a napravuje nepoměr mezi byrokracií a reálným emisním dopadem u drobných zásilek. </w:t>
      </w:r>
    </w:p>
    <w:p w14:paraId="68D22FEF" w14:textId="77777777" w:rsidR="00BF0BEA" w:rsidRPr="00EF5EFD" w:rsidRDefault="00BF0BEA" w:rsidP="00BF0BEA">
      <w:pPr>
        <w:spacing w:after="0" w:line="240" w:lineRule="auto"/>
        <w:rPr>
          <w:rFonts w:cs="Arial"/>
          <w:i/>
          <w:iCs/>
          <w:sz w:val="21"/>
          <w:szCs w:val="21"/>
        </w:rPr>
      </w:pPr>
      <w:r w:rsidRPr="00EF5EFD">
        <w:rPr>
          <w:rFonts w:cs="Arial"/>
          <w:i/>
          <w:iCs/>
          <w:sz w:val="21"/>
          <w:szCs w:val="21"/>
        </w:rPr>
        <w:t xml:space="preserve">Nařízení Evropského parlamentu a Rady (EU) 2025/2083 ze dne 8. října 2025, kterým se mění nařízení (EU) 2023/956, pokud jde o zjednodušení a posílení mechanismu uhlíkového vyrovnání na hranicích </w:t>
      </w:r>
    </w:p>
    <w:p w14:paraId="47530B4B" w14:textId="77777777" w:rsidR="00BF0BEA" w:rsidRPr="00EF5EFD" w:rsidRDefault="00BF0BEA" w:rsidP="00BF0BEA">
      <w:pPr>
        <w:spacing w:after="0" w:line="240" w:lineRule="auto"/>
        <w:rPr>
          <w:rFonts w:cs="Arial"/>
          <w:i/>
          <w:iCs/>
          <w:sz w:val="21"/>
          <w:szCs w:val="21"/>
        </w:rPr>
      </w:pPr>
    </w:p>
    <w:p w14:paraId="5ABFB4DD" w14:textId="77777777" w:rsidR="00BF0BEA" w:rsidRPr="00EF5EFD" w:rsidRDefault="00BF0BEA" w:rsidP="00BF0BEA">
      <w:pPr>
        <w:spacing w:after="0" w:line="240" w:lineRule="auto"/>
        <w:rPr>
          <w:rFonts w:cs="Arial"/>
          <w:b/>
          <w:bCs/>
        </w:rPr>
      </w:pPr>
    </w:p>
    <w:p w14:paraId="46B7B6C2" w14:textId="77777777" w:rsidR="00BF0BEA" w:rsidRPr="00EF5EFD" w:rsidRDefault="00BF0BEA" w:rsidP="00BF0BEA">
      <w:pPr>
        <w:rPr>
          <w:rFonts w:cs="Arial"/>
          <w:b/>
          <w:bCs/>
        </w:rPr>
      </w:pPr>
      <w:r w:rsidRPr="00EF5EFD">
        <w:rPr>
          <w:rFonts w:cs="Arial"/>
          <w:b/>
          <w:bCs/>
        </w:rPr>
        <w:t>Novela zákona o účetnictví</w:t>
      </w:r>
    </w:p>
    <w:p w14:paraId="08CCC02F" w14:textId="48E194B8" w:rsidR="00BF0BEA" w:rsidRPr="00EF5EFD" w:rsidRDefault="00BF0BEA" w:rsidP="00BF0BEA">
      <w:pPr>
        <w:rPr>
          <w:rFonts w:cs="Arial"/>
          <w:sz w:val="21"/>
          <w:szCs w:val="21"/>
        </w:rPr>
      </w:pPr>
      <w:r w:rsidRPr="00EF5EFD">
        <w:rPr>
          <w:rFonts w:cs="Arial"/>
          <w:sz w:val="21"/>
          <w:szCs w:val="21"/>
        </w:rPr>
        <w:t xml:space="preserve">Novela zvyšuje hraniční hodnoty pro kategorizaci účetních jednotek a související limity pro povinnost statutárního auditu. </w:t>
      </w:r>
      <w:r w:rsidR="00977810" w:rsidRPr="00EF5EFD">
        <w:rPr>
          <w:rFonts w:cs="Arial"/>
          <w:sz w:val="21"/>
          <w:szCs w:val="21"/>
        </w:rPr>
        <w:t xml:space="preserve">Novela tak </w:t>
      </w:r>
      <w:r w:rsidRPr="00EF5EFD">
        <w:rPr>
          <w:rFonts w:cs="Arial"/>
          <w:sz w:val="21"/>
          <w:szCs w:val="21"/>
        </w:rPr>
        <w:t xml:space="preserve">výrazně omezuje okruh entit podléhajících povinnému auditu a snižuje administrativní zátěž </w:t>
      </w:r>
      <w:r w:rsidR="00BA34A2" w:rsidRPr="00EF5EFD">
        <w:rPr>
          <w:rFonts w:cs="Arial"/>
          <w:sz w:val="21"/>
          <w:szCs w:val="21"/>
        </w:rPr>
        <w:t>podnikatelů</w:t>
      </w:r>
      <w:r w:rsidRPr="00EF5EFD">
        <w:rPr>
          <w:rFonts w:cs="Arial"/>
          <w:sz w:val="21"/>
          <w:szCs w:val="21"/>
        </w:rPr>
        <w:t xml:space="preserve"> v oblasti sestavování a zveřejňování účetních výkazů.</w:t>
      </w:r>
    </w:p>
    <w:p w14:paraId="608AAD71" w14:textId="77777777" w:rsidR="00BF0BEA" w:rsidRPr="00EF5EFD" w:rsidRDefault="00BF0BEA" w:rsidP="00BF0BEA">
      <w:pPr>
        <w:spacing w:after="0" w:line="240" w:lineRule="auto"/>
        <w:rPr>
          <w:rFonts w:eastAsia="Times New Roman" w:cs="Arial"/>
          <w:color w:val="000000"/>
          <w:kern w:val="0"/>
          <w:sz w:val="22"/>
          <w:szCs w:val="22"/>
          <w14:ligatures w14:val="none"/>
        </w:rPr>
      </w:pPr>
    </w:p>
    <w:p w14:paraId="22FEC291" w14:textId="6008D873" w:rsidR="00BF0BEA" w:rsidRPr="00EF5EFD" w:rsidRDefault="00940B85" w:rsidP="00BF0BEA">
      <w:pPr>
        <w:spacing w:after="0" w:line="240" w:lineRule="auto"/>
        <w:rPr>
          <w:rFonts w:cs="Arial"/>
          <w:i/>
          <w:iCs/>
          <w:sz w:val="21"/>
          <w:szCs w:val="21"/>
        </w:rPr>
      </w:pPr>
      <w:r w:rsidRPr="00EF5EFD">
        <w:rPr>
          <w:rFonts w:cs="Arial"/>
          <w:i/>
          <w:iCs/>
          <w:sz w:val="21"/>
          <w:szCs w:val="21"/>
        </w:rPr>
        <w:t xml:space="preserve">Novela zákona č. 563/1991 Sb., o účetnictví, přijatá </w:t>
      </w:r>
      <w:r w:rsidR="00C620D0">
        <w:rPr>
          <w:rFonts w:cs="Arial"/>
          <w:i/>
          <w:iCs/>
          <w:sz w:val="21"/>
          <w:szCs w:val="21"/>
        </w:rPr>
        <w:t>z</w:t>
      </w:r>
      <w:r w:rsidR="00BF0BEA" w:rsidRPr="00EF5EFD">
        <w:rPr>
          <w:rFonts w:cs="Arial"/>
          <w:i/>
          <w:iCs/>
          <w:sz w:val="21"/>
          <w:szCs w:val="21"/>
        </w:rPr>
        <w:t>ákon</w:t>
      </w:r>
      <w:r w:rsidRPr="00EF5EFD">
        <w:rPr>
          <w:rFonts w:cs="Arial"/>
          <w:i/>
          <w:iCs/>
          <w:sz w:val="21"/>
          <w:szCs w:val="21"/>
        </w:rPr>
        <w:t>em</w:t>
      </w:r>
      <w:r w:rsidR="00BF0BEA" w:rsidRPr="00EF5EFD">
        <w:rPr>
          <w:rFonts w:cs="Arial"/>
          <w:i/>
          <w:iCs/>
          <w:sz w:val="21"/>
          <w:szCs w:val="21"/>
        </w:rPr>
        <w:t xml:space="preserve"> č. 316/2025 Sb., kterým se mění zákon č. 563/1991 Sb., o účetnictví, ve znění pozdějších předpisů, zákon č. 93/2009 Sb., o auditorech a o změně některých zákonů (zákon o auditorech), ve znění pozdějších předpisů, a zákon č. 416/2023 Sb., o dorovnávacích daních pro velké nadnárodní skupiny a velké vnitrostátní skupiny</w:t>
      </w:r>
    </w:p>
    <w:p w14:paraId="55178172" w14:textId="77777777" w:rsidR="00EF206C" w:rsidRPr="00EF5EFD" w:rsidRDefault="00EF206C" w:rsidP="00BF0BEA">
      <w:pPr>
        <w:spacing w:after="0" w:line="240" w:lineRule="auto"/>
        <w:rPr>
          <w:rFonts w:cs="Arial"/>
          <w:i/>
          <w:iCs/>
          <w:sz w:val="21"/>
          <w:szCs w:val="21"/>
        </w:rPr>
      </w:pPr>
    </w:p>
    <w:p w14:paraId="0EA3698F" w14:textId="77777777" w:rsidR="00EF206C" w:rsidRPr="00EF5EFD" w:rsidRDefault="00EF206C" w:rsidP="00BF0BEA">
      <w:pPr>
        <w:spacing w:after="0" w:line="240" w:lineRule="auto"/>
        <w:rPr>
          <w:rFonts w:cs="Arial"/>
          <w:i/>
          <w:iCs/>
          <w:sz w:val="21"/>
          <w:szCs w:val="21"/>
        </w:rPr>
      </w:pPr>
    </w:p>
    <w:p w14:paraId="20564ABA" w14:textId="77777777" w:rsidR="005D495F" w:rsidRPr="00EF5EFD" w:rsidRDefault="005D495F" w:rsidP="005D495F">
      <w:pPr>
        <w:rPr>
          <w:rFonts w:cs="Arial"/>
          <w:b/>
          <w:bCs/>
        </w:rPr>
      </w:pPr>
      <w:r w:rsidRPr="00EF5EFD">
        <w:rPr>
          <w:rFonts w:cs="Arial"/>
          <w:b/>
          <w:bCs/>
        </w:rPr>
        <w:t>Vyšší limit pro daňově uznatelné opravné položky</w:t>
      </w:r>
    </w:p>
    <w:p w14:paraId="297D908C" w14:textId="77777777" w:rsidR="005D495F" w:rsidRPr="00EF5EFD" w:rsidRDefault="005D495F" w:rsidP="005D495F">
      <w:pPr>
        <w:rPr>
          <w:rFonts w:cs="Arial"/>
          <w:sz w:val="21"/>
          <w:szCs w:val="21"/>
        </w:rPr>
      </w:pPr>
      <w:r w:rsidRPr="00EF5EFD">
        <w:rPr>
          <w:rFonts w:cs="Arial"/>
          <w:sz w:val="21"/>
          <w:szCs w:val="21"/>
        </w:rPr>
        <w:t>Zvýšení limitu pro daňově uznatelné opravné položky k nedobytným pohledávkám z 30</w:t>
      </w:r>
      <w:r w:rsidRPr="00EF5EFD">
        <w:rPr>
          <w:rFonts w:ascii="Arial" w:hAnsi="Arial" w:cs="Arial"/>
          <w:sz w:val="21"/>
          <w:szCs w:val="21"/>
        </w:rPr>
        <w:t> </w:t>
      </w:r>
      <w:r w:rsidRPr="00EF5EFD">
        <w:rPr>
          <w:rFonts w:cs="Arial"/>
          <w:sz w:val="21"/>
          <w:szCs w:val="21"/>
        </w:rPr>
        <w:t>000 Kč na 50</w:t>
      </w:r>
      <w:r w:rsidRPr="00EF5EFD">
        <w:rPr>
          <w:rFonts w:ascii="Arial" w:hAnsi="Arial" w:cs="Arial"/>
          <w:sz w:val="21"/>
          <w:szCs w:val="21"/>
        </w:rPr>
        <w:t> </w:t>
      </w:r>
      <w:r w:rsidRPr="00EF5EFD">
        <w:rPr>
          <w:rFonts w:cs="Arial"/>
          <w:sz w:val="21"/>
          <w:szCs w:val="21"/>
        </w:rPr>
        <w:t xml:space="preserve">000 Kč usnadňuje podnikatelům vyřazování nevymahatelných pohledávek a zjednodušuje daňovou i účetní agendu. </w:t>
      </w:r>
      <w:r>
        <w:rPr>
          <w:rFonts w:cs="Arial"/>
          <w:sz w:val="21"/>
          <w:szCs w:val="21"/>
        </w:rPr>
        <w:t>Novela r</w:t>
      </w:r>
      <w:r w:rsidRPr="00EF5EFD">
        <w:rPr>
          <w:rFonts w:cs="Arial"/>
          <w:sz w:val="21"/>
          <w:szCs w:val="21"/>
        </w:rPr>
        <w:t xml:space="preserve">eaguje na ekonomický vývoj a snižuje zbytečné náklady. </w:t>
      </w:r>
    </w:p>
    <w:p w14:paraId="511F0F91" w14:textId="77777777" w:rsidR="005D495F" w:rsidRPr="00EF5EFD" w:rsidRDefault="005D495F" w:rsidP="005D495F">
      <w:pPr>
        <w:rPr>
          <w:rFonts w:cs="Arial"/>
          <w:i/>
          <w:iCs/>
          <w:sz w:val="21"/>
          <w:szCs w:val="21"/>
        </w:rPr>
      </w:pPr>
      <w:r w:rsidRPr="00EF5EFD">
        <w:rPr>
          <w:rFonts w:cs="Arial"/>
          <w:i/>
          <w:iCs/>
          <w:sz w:val="21"/>
          <w:szCs w:val="21"/>
        </w:rPr>
        <w:t xml:space="preserve">Novela zákona č. 593/1992 Sb., o rezervách pro zjištění základu daně z příjmů, přijatá zákonem </w:t>
      </w:r>
      <w:r w:rsidRPr="00EF5EFD">
        <w:rPr>
          <w:rFonts w:cs="Arial"/>
          <w:i/>
          <w:iCs/>
          <w:sz w:val="21"/>
          <w:szCs w:val="21"/>
        </w:rPr>
        <w:br/>
        <w:t xml:space="preserve">č. 360/2025 Sb., kterým se mění některé zákony v souvislosti s přijetím zákona o jednotném měsíčním hlášení zaměstnavatele (ČÁST ŠESTÁ) </w:t>
      </w:r>
    </w:p>
    <w:p w14:paraId="56C1EA2C" w14:textId="77777777" w:rsidR="00EF206C" w:rsidRPr="00EF5EFD" w:rsidRDefault="00EF206C" w:rsidP="00BF0BEA">
      <w:pPr>
        <w:spacing w:after="0" w:line="240" w:lineRule="auto"/>
        <w:rPr>
          <w:rFonts w:cs="Arial"/>
          <w:i/>
          <w:iCs/>
          <w:sz w:val="21"/>
          <w:szCs w:val="21"/>
        </w:rPr>
      </w:pPr>
    </w:p>
    <w:p w14:paraId="7D99725F" w14:textId="77777777" w:rsidR="00BF0BEA" w:rsidRPr="00EF5EFD" w:rsidRDefault="00BF0BEA" w:rsidP="00A83927">
      <w:pPr>
        <w:rPr>
          <w:rFonts w:cs="Arial"/>
          <w:i/>
          <w:iCs/>
          <w:sz w:val="21"/>
          <w:szCs w:val="21"/>
        </w:rPr>
      </w:pPr>
    </w:p>
    <w:sectPr w:rsidR="00BF0BEA" w:rsidRPr="00EF5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84"/>
    <w:rsid w:val="000004C1"/>
    <w:rsid w:val="000320F0"/>
    <w:rsid w:val="00056201"/>
    <w:rsid w:val="0008091B"/>
    <w:rsid w:val="000F2A73"/>
    <w:rsid w:val="001350AF"/>
    <w:rsid w:val="00186701"/>
    <w:rsid w:val="001A531F"/>
    <w:rsid w:val="001B2182"/>
    <w:rsid w:val="001E7A6D"/>
    <w:rsid w:val="002049D0"/>
    <w:rsid w:val="00214D1A"/>
    <w:rsid w:val="002431AD"/>
    <w:rsid w:val="00245B4A"/>
    <w:rsid w:val="002725B0"/>
    <w:rsid w:val="00287B6B"/>
    <w:rsid w:val="0029532B"/>
    <w:rsid w:val="002C19CF"/>
    <w:rsid w:val="002D140A"/>
    <w:rsid w:val="002D46EF"/>
    <w:rsid w:val="002E3344"/>
    <w:rsid w:val="003028BA"/>
    <w:rsid w:val="003103D4"/>
    <w:rsid w:val="00322C3E"/>
    <w:rsid w:val="00364831"/>
    <w:rsid w:val="003F08F7"/>
    <w:rsid w:val="003F2A8C"/>
    <w:rsid w:val="00400DC9"/>
    <w:rsid w:val="004357A8"/>
    <w:rsid w:val="004625DE"/>
    <w:rsid w:val="00466F03"/>
    <w:rsid w:val="00467719"/>
    <w:rsid w:val="0048074F"/>
    <w:rsid w:val="005470B8"/>
    <w:rsid w:val="005718E3"/>
    <w:rsid w:val="0059380C"/>
    <w:rsid w:val="005A20FD"/>
    <w:rsid w:val="005A2E9F"/>
    <w:rsid w:val="005C56AA"/>
    <w:rsid w:val="005D495F"/>
    <w:rsid w:val="00622B40"/>
    <w:rsid w:val="006831DE"/>
    <w:rsid w:val="00695C96"/>
    <w:rsid w:val="00745ED3"/>
    <w:rsid w:val="00782A5F"/>
    <w:rsid w:val="00786F33"/>
    <w:rsid w:val="007C5525"/>
    <w:rsid w:val="00820058"/>
    <w:rsid w:val="008976C2"/>
    <w:rsid w:val="008A36E1"/>
    <w:rsid w:val="008B6A57"/>
    <w:rsid w:val="008F30E8"/>
    <w:rsid w:val="00940B85"/>
    <w:rsid w:val="009557E5"/>
    <w:rsid w:val="00956F00"/>
    <w:rsid w:val="0096580F"/>
    <w:rsid w:val="00977810"/>
    <w:rsid w:val="00986372"/>
    <w:rsid w:val="009E4194"/>
    <w:rsid w:val="00A119F9"/>
    <w:rsid w:val="00A45FC1"/>
    <w:rsid w:val="00A55EC0"/>
    <w:rsid w:val="00A57E92"/>
    <w:rsid w:val="00A67019"/>
    <w:rsid w:val="00A83927"/>
    <w:rsid w:val="00B6504D"/>
    <w:rsid w:val="00B83AE0"/>
    <w:rsid w:val="00BA34A2"/>
    <w:rsid w:val="00BA7141"/>
    <w:rsid w:val="00BB40C3"/>
    <w:rsid w:val="00BF0BEA"/>
    <w:rsid w:val="00C003AD"/>
    <w:rsid w:val="00C620D0"/>
    <w:rsid w:val="00CD1A77"/>
    <w:rsid w:val="00D841BD"/>
    <w:rsid w:val="00DA328C"/>
    <w:rsid w:val="00E13484"/>
    <w:rsid w:val="00E1519A"/>
    <w:rsid w:val="00E51F8A"/>
    <w:rsid w:val="00E8233A"/>
    <w:rsid w:val="00E93DE1"/>
    <w:rsid w:val="00EA723E"/>
    <w:rsid w:val="00ED2634"/>
    <w:rsid w:val="00EF206C"/>
    <w:rsid w:val="00EF5EFD"/>
    <w:rsid w:val="00F5035B"/>
    <w:rsid w:val="00F50EC0"/>
    <w:rsid w:val="00F77594"/>
    <w:rsid w:val="00FC5867"/>
    <w:rsid w:val="00FD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3704"/>
  <w15:chartTrackingRefBased/>
  <w15:docId w15:val="{67F5887A-59BB-3044-8A75-C50E716A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48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670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0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0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0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0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6F33"/>
    <w:pPr>
      <w:spacing w:after="0" w:line="240" w:lineRule="auto"/>
    </w:pPr>
  </w:style>
  <w:style w:type="paragraph" w:styleId="NoSpacing">
    <w:name w:val="No Spacing"/>
    <w:uiPriority w:val="1"/>
    <w:qFormat/>
    <w:rsid w:val="00056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7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955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Hrodek</dc:creator>
  <cp:keywords/>
  <dc:description/>
  <cp:lastModifiedBy>Zahrubska, Tereza</cp:lastModifiedBy>
  <cp:revision>40</cp:revision>
  <dcterms:created xsi:type="dcterms:W3CDTF">2026-02-06T14:29:00Z</dcterms:created>
  <dcterms:modified xsi:type="dcterms:W3CDTF">2026-02-13T13:39:00Z</dcterms:modified>
</cp:coreProperties>
</file>