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CC4F3" w14:textId="77777777" w:rsidR="00CF7B54" w:rsidRDefault="00CF7B54" w:rsidP="00CF7B54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120BCB">
        <w:rPr>
          <w:rFonts w:ascii="Garamond" w:hAnsi="Garamond" w:cs="Arial"/>
          <w:b/>
          <w:sz w:val="24"/>
          <w:szCs w:val="24"/>
        </w:rPr>
        <w:t>VI.</w:t>
      </w:r>
    </w:p>
    <w:p w14:paraId="3ADC8F7F" w14:textId="77777777" w:rsidR="00CF7B54" w:rsidRDefault="00CF7B54" w:rsidP="00CF7B54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Vykazování</w:t>
      </w:r>
    </w:p>
    <w:p w14:paraId="7ED2D109" w14:textId="77777777" w:rsidR="00CF7B54" w:rsidRDefault="00CF7B54" w:rsidP="00CF7B54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14:paraId="0DED49EC" w14:textId="1F818B3F" w:rsidR="00CF7B54" w:rsidRDefault="00CF7B54" w:rsidP="00CF7B54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2023</w:t>
      </w:r>
    </w:p>
    <w:p w14:paraId="0F3209E1" w14:textId="5FD6FCA3" w:rsidR="00CF7B54" w:rsidRDefault="00CF7B54" w:rsidP="00CF7B54">
      <w:pPr>
        <w:ind w:left="709" w:hanging="349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en-US" w:bidi="he-IL"/>
        </w:rPr>
      </w:pPr>
      <w:r>
        <w:rPr>
          <w:rFonts w:ascii="Garamond" w:eastAsia="Times New Roman" w:hAnsi="Garamond" w:cs="Times New Roman"/>
          <w:sz w:val="24"/>
          <w:szCs w:val="24"/>
          <w:lang w:eastAsia="en-US" w:bidi="he-IL"/>
        </w:rPr>
        <w:t xml:space="preserve">2.     </w:t>
      </w:r>
      <w:r w:rsidRPr="00CF7B54">
        <w:rPr>
          <w:rFonts w:ascii="Garamond" w:eastAsia="Times New Roman" w:hAnsi="Garamond" w:cs="Times New Roman"/>
          <w:color w:val="FF0000"/>
          <w:sz w:val="24"/>
          <w:szCs w:val="24"/>
          <w:lang w:eastAsia="en-US" w:bidi="he-IL"/>
        </w:rPr>
        <w:t xml:space="preserve">Obec je povinna informace z evidence za každé Období předat společnosti vždy nejpozději do třiceti (30) dnů od skončení tohoto Období, a to formou výkazu, který tvoří přílohu č. 2 smlouvy, v elektronické podobě ve formátu určeném společností. Společnost potvrdí obci přijetí tohoto výkazu písemně nebo prostřednictvím elektronické pošty (e-mail) nejpozději do patnácti (15) pracovních dnů od: (i) přijetí řádného a úplného výkazu, </w:t>
      </w:r>
      <w:r w:rsidRPr="00B2719B">
        <w:rPr>
          <w:rFonts w:ascii="Garamond" w:eastAsia="Times New Roman" w:hAnsi="Garamond" w:cs="Times New Roman"/>
          <w:b/>
          <w:bCs/>
          <w:color w:val="FF0000"/>
          <w:sz w:val="24"/>
          <w:szCs w:val="24"/>
          <w:u w:val="single"/>
          <w:lang w:eastAsia="en-US" w:bidi="he-IL"/>
        </w:rPr>
        <w:t>vztahuje-li se výkaz k Období spadajícím do druhého až čtvrtého kalendářního čtvrtletí příslušného roku, a (</w:t>
      </w:r>
      <w:proofErr w:type="spellStart"/>
      <w:r w:rsidRPr="00B2719B">
        <w:rPr>
          <w:rFonts w:ascii="Garamond" w:eastAsia="Times New Roman" w:hAnsi="Garamond" w:cs="Times New Roman"/>
          <w:b/>
          <w:bCs/>
          <w:color w:val="FF0000"/>
          <w:sz w:val="24"/>
          <w:szCs w:val="24"/>
          <w:u w:val="single"/>
          <w:lang w:eastAsia="en-US" w:bidi="he-IL"/>
        </w:rPr>
        <w:t>ii</w:t>
      </w:r>
      <w:proofErr w:type="spellEnd"/>
      <w:r w:rsidRPr="00B2719B">
        <w:rPr>
          <w:rFonts w:ascii="Garamond" w:eastAsia="Times New Roman" w:hAnsi="Garamond" w:cs="Times New Roman"/>
          <w:b/>
          <w:bCs/>
          <w:color w:val="FF0000"/>
          <w:sz w:val="24"/>
          <w:szCs w:val="24"/>
          <w:u w:val="single"/>
          <w:lang w:eastAsia="en-US" w:bidi="he-IL"/>
        </w:rPr>
        <w:t>) ode dne přijetí řádného a úplného výkazu a zveřejnění počtu obyvatel v obcích v České republice k 1. lednu Českým statistickým úřadem, vztahuje-li se výkaz k Období spadajícím do prvního kalendářního čtvrtletí příslušného roku;</w:t>
      </w:r>
      <w:r w:rsidRPr="00CF7B54">
        <w:rPr>
          <w:rFonts w:ascii="Garamond" w:eastAsia="Times New Roman" w:hAnsi="Garamond" w:cs="Times New Roman"/>
          <w:color w:val="FF0000"/>
          <w:sz w:val="24"/>
          <w:szCs w:val="24"/>
          <w:lang w:eastAsia="en-US" w:bidi="he-IL"/>
        </w:rPr>
        <w:t xml:space="preserve"> společnost je oprávněna požadovat, aby obec výkaz, který není řádný nebo úplný, uvedla do souladu se smlouvou.</w:t>
      </w:r>
    </w:p>
    <w:p w14:paraId="5453D01B" w14:textId="4FFE08E9" w:rsidR="00CF7B54" w:rsidRPr="00CF7B54" w:rsidRDefault="00CF7B54" w:rsidP="00CF7B54">
      <w:pPr>
        <w:ind w:left="709" w:hanging="349"/>
        <w:jc w:val="center"/>
        <w:rPr>
          <w:rFonts w:ascii="Garamond" w:eastAsia="Times New Roman" w:hAnsi="Garamond" w:cs="Times New Roman"/>
          <w:bCs/>
          <w:color w:val="FF0000"/>
          <w:sz w:val="24"/>
          <w:szCs w:val="24"/>
          <w:lang w:eastAsia="en-US" w:bidi="he-IL"/>
        </w:rPr>
      </w:pPr>
      <w:r>
        <w:rPr>
          <w:rFonts w:ascii="Garamond" w:eastAsia="Times New Roman" w:hAnsi="Garamond" w:cs="Times New Roman"/>
          <w:sz w:val="24"/>
          <w:szCs w:val="24"/>
          <w:lang w:eastAsia="en-US" w:bidi="he-IL"/>
        </w:rPr>
        <w:t>2024</w:t>
      </w:r>
    </w:p>
    <w:p w14:paraId="36478E53" w14:textId="18CE25B0" w:rsidR="00CF7B54" w:rsidRDefault="00CF7B54" w:rsidP="00CF7B54">
      <w:pPr>
        <w:spacing w:line="276" w:lineRule="auto"/>
        <w:ind w:left="851" w:hanging="491"/>
        <w:jc w:val="both"/>
        <w:rPr>
          <w:rFonts w:ascii="Garamond" w:eastAsia="Times New Roman" w:hAnsi="Garamond" w:cs="Times New Roman"/>
          <w:sz w:val="23"/>
          <w:szCs w:val="23"/>
          <w:lang w:eastAsia="en-US" w:bidi="he-IL"/>
        </w:rPr>
      </w:pPr>
      <w:r>
        <w:rPr>
          <w:rFonts w:ascii="Garamond" w:eastAsia="Times New Roman" w:hAnsi="Garamond" w:cs="Times New Roman"/>
          <w:sz w:val="23"/>
          <w:szCs w:val="23"/>
          <w:lang w:eastAsia="en-US" w:bidi="he-IL"/>
        </w:rPr>
        <w:t>2.</w:t>
      </w:r>
      <w:r>
        <w:rPr>
          <w:rFonts w:ascii="Garamond" w:eastAsia="Times New Roman" w:hAnsi="Garamond" w:cs="Times New Roman"/>
          <w:sz w:val="23"/>
          <w:szCs w:val="23"/>
          <w:lang w:eastAsia="en-US" w:bidi="he-IL"/>
        </w:rPr>
        <w:tab/>
      </w:r>
      <w:r w:rsidRPr="0090286C">
        <w:rPr>
          <w:rFonts w:ascii="Garamond" w:eastAsia="Times New Roman" w:hAnsi="Garamond" w:cs="Times New Roman"/>
          <w:sz w:val="23"/>
          <w:szCs w:val="23"/>
          <w:lang w:eastAsia="en-US" w:bidi="he-IL"/>
        </w:rPr>
        <w:t>Obec je povinna informace z evidence za každé Období předat společnosti vždy nejpozději do třiceti (30) dnů od skončení tohoto Období, a to formou výkazu, který tvoří přílohu č. 2 smlouvy, v elektronické podobě ve formátu určeném společností. Společnost potvrdí obci přijetí tohoto výkazu písemně nebo prostřednictvím elektronické pošty (e-mail) nejpozději do patnácti (15) pracovních dnů od přijetí řádného a úplného výkazu za Období odpovídající</w:t>
      </w:r>
      <w:r>
        <w:rPr>
          <w:rFonts w:ascii="Garamond" w:eastAsia="Times New Roman" w:hAnsi="Garamond" w:cs="Times New Roman"/>
          <w:sz w:val="23"/>
          <w:szCs w:val="23"/>
          <w:lang w:eastAsia="en-US" w:bidi="he-IL"/>
        </w:rPr>
        <w:t>ho</w:t>
      </w:r>
      <w:r w:rsidRPr="0090286C">
        <w:rPr>
          <w:rFonts w:ascii="Garamond" w:eastAsia="Times New Roman" w:hAnsi="Garamond" w:cs="Times New Roman"/>
          <w:sz w:val="23"/>
          <w:szCs w:val="23"/>
          <w:lang w:eastAsia="en-US" w:bidi="he-IL"/>
        </w:rPr>
        <w:t xml:space="preserve"> kalendářního čtvrtletí příslušného roku; společnost je oprávněna požadovat, aby obec výkaz, který není řádný nebo úplný, uvedla do souladu se smlouvou. </w:t>
      </w:r>
    </w:p>
    <w:p w14:paraId="56F2A553" w14:textId="77777777" w:rsidR="00B2719B" w:rsidRPr="0090286C" w:rsidRDefault="00B2719B" w:rsidP="00CF7B54">
      <w:pPr>
        <w:spacing w:line="276" w:lineRule="auto"/>
        <w:ind w:left="851" w:hanging="491"/>
        <w:jc w:val="both"/>
        <w:rPr>
          <w:rFonts w:ascii="Garamond" w:eastAsia="Times New Roman" w:hAnsi="Garamond" w:cs="Times New Roman"/>
          <w:bCs/>
          <w:sz w:val="23"/>
          <w:szCs w:val="23"/>
          <w:lang w:eastAsia="en-US" w:bidi="he-IL"/>
        </w:rPr>
      </w:pPr>
    </w:p>
    <w:p w14:paraId="0E3D6BE1" w14:textId="77777777" w:rsidR="00534BF9" w:rsidRPr="00120BCB" w:rsidRDefault="00534BF9" w:rsidP="00534BF9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VII.</w:t>
      </w:r>
    </w:p>
    <w:p w14:paraId="65606064" w14:textId="77777777" w:rsidR="00534BF9" w:rsidRDefault="00534BF9" w:rsidP="00534BF9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Opravný a hromadný výkaz; smluvní pokuty </w:t>
      </w:r>
    </w:p>
    <w:p w14:paraId="05BD44DF" w14:textId="77777777" w:rsidR="00534BF9" w:rsidRDefault="00534BF9" w:rsidP="00534BF9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14:paraId="4A346D53" w14:textId="616EAAD2" w:rsidR="00534BF9" w:rsidRPr="00120BCB" w:rsidRDefault="00534BF9" w:rsidP="00534BF9">
      <w:pPr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2023</w:t>
      </w:r>
    </w:p>
    <w:p w14:paraId="68F4B1C1" w14:textId="08A768B9" w:rsidR="00534BF9" w:rsidRPr="00B2719B" w:rsidRDefault="00534BF9" w:rsidP="00534BF9">
      <w:pPr>
        <w:ind w:left="851" w:hanging="491"/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9.</w:t>
      </w:r>
      <w:r>
        <w:rPr>
          <w:rFonts w:ascii="Garamond" w:hAnsi="Garamond"/>
          <w:bCs/>
          <w:sz w:val="24"/>
          <w:szCs w:val="24"/>
        </w:rPr>
        <w:tab/>
      </w:r>
      <w:r w:rsidRPr="00534BF9">
        <w:rPr>
          <w:rFonts w:ascii="Garamond" w:hAnsi="Garamond"/>
          <w:bCs/>
          <w:color w:val="FF0000"/>
          <w:sz w:val="24"/>
          <w:szCs w:val="24"/>
        </w:rPr>
        <w:t xml:space="preserve">V případě, že obec uvede v dotazníku předloženém dle čl. IV. odst. 4 smlouvy nesprávný nebo neúplný údaj, je obec povinna předat společnosti opravný dotazník za příslušný kalendářní rok obsahující správné a úplné údaje, pro který platí, není-li uvedeno jinak, pravidla pro poskytování informací formou dotazníku podle čl. IV. odst. 4 smlouvy (podoba dotazníku atp.). Tento opravný dotazník je obec povinna předat společnosti nejpozději </w:t>
      </w:r>
      <w:r w:rsidRPr="00B2719B">
        <w:rPr>
          <w:rFonts w:ascii="Garamond" w:hAnsi="Garamond"/>
          <w:b/>
          <w:color w:val="FF0000"/>
          <w:sz w:val="24"/>
          <w:szCs w:val="24"/>
          <w:u w:val="single"/>
        </w:rPr>
        <w:t>do 31. července kalendářního roku následujícího po roce, za nějž se opravný dotazník zpracovává (to platí i v případě zjištění nesprávnosti auditem podle VOP; v takovém případě je za obec oprávněna opravný dotazník zpracovat společnost podle zjištění auditu).</w:t>
      </w:r>
    </w:p>
    <w:p w14:paraId="0E54165D" w14:textId="5CF43B10" w:rsidR="00534BF9" w:rsidRPr="00534BF9" w:rsidRDefault="00534BF9" w:rsidP="00534BF9">
      <w:pPr>
        <w:ind w:left="851" w:hanging="491"/>
        <w:jc w:val="both"/>
        <w:rPr>
          <w:rFonts w:ascii="Garamond" w:hAnsi="Garamond"/>
          <w:bCs/>
          <w:color w:val="FF0000"/>
          <w:sz w:val="24"/>
          <w:szCs w:val="24"/>
        </w:rPr>
      </w:pPr>
      <w:r w:rsidRPr="00534BF9">
        <w:rPr>
          <w:rFonts w:ascii="Garamond" w:hAnsi="Garamond" w:cs="Arial"/>
          <w:bCs/>
          <w:color w:val="FF0000"/>
          <w:sz w:val="24"/>
          <w:szCs w:val="24"/>
        </w:rPr>
        <w:t>10.</w:t>
      </w:r>
      <w:r w:rsidRPr="00534BF9">
        <w:rPr>
          <w:rFonts w:ascii="Garamond" w:hAnsi="Garamond" w:cs="Arial"/>
          <w:bCs/>
          <w:color w:val="FF0000"/>
          <w:sz w:val="24"/>
          <w:szCs w:val="24"/>
        </w:rPr>
        <w:tab/>
      </w:r>
      <w:r w:rsidRPr="00534BF9">
        <w:rPr>
          <w:rFonts w:ascii="Garamond" w:hAnsi="Garamond" w:cs="Arial"/>
          <w:bCs/>
          <w:color w:val="FF0000"/>
          <w:sz w:val="24"/>
          <w:szCs w:val="24"/>
        </w:rPr>
        <w:t xml:space="preserve">V případě, že obec neposkytne společnosti informace dle čl. IV. odst. 4 smlouvy, popřípadě i část těchto informací, způsobem či ve lhůtě dle čl. IV. odst. 4 smlouvy, ani následně prostřednictvím opravného dotazníku způsobem a ve lhůtě dle čl. VII. odst. 9. VOP, je společnost oprávněna požadovat a obec je povinna zaplatit společnosti smluvní pokutu ve výši 0,8 % (osm desetin procenta) z celkové výše odměny uhrazené obci za kalendářní rok, jehož se porušení smluvní povinnosti týká, a to za každý jednotlivý případ pod podmínkou, že byla obec o nesplnění těchto svých povinností společností informována písemně či prostřednictvím elektronické pošty a obec tyto své povinnosti </w:t>
      </w:r>
      <w:r w:rsidRPr="00534BF9">
        <w:rPr>
          <w:rFonts w:ascii="Garamond" w:hAnsi="Garamond" w:cs="Arial"/>
          <w:bCs/>
          <w:color w:val="FF0000"/>
          <w:sz w:val="24"/>
          <w:szCs w:val="24"/>
        </w:rPr>
        <w:lastRenderedPageBreak/>
        <w:t xml:space="preserve">nesplnila ani v dodatečné přiměřené lhůtě, která ji byla za tímto účelem společností poskytnuta a která nebyla kratší patnácti (15) pracovních dnů ode dne následujícího dni doručení tohoto upozornění. Smluvní strany ujednávají, že smluvní pokuta dle tohoto ustanovení VOP může činit nejvýše </w:t>
      </w:r>
      <w:r w:rsidR="00967CD2" w:rsidRPr="00534BF9">
        <w:rPr>
          <w:rFonts w:ascii="Garamond" w:hAnsi="Garamond" w:cs="Arial"/>
          <w:bCs/>
          <w:color w:val="FF0000"/>
          <w:sz w:val="24"/>
          <w:szCs w:val="24"/>
        </w:rPr>
        <w:t>10.000, -</w:t>
      </w:r>
      <w:r w:rsidRPr="00534BF9">
        <w:rPr>
          <w:rFonts w:ascii="Garamond" w:hAnsi="Garamond" w:cs="Arial"/>
          <w:bCs/>
          <w:color w:val="FF0000"/>
          <w:sz w:val="24"/>
          <w:szCs w:val="24"/>
        </w:rPr>
        <w:t> Kč ročně. Ujednáním tohoto odstavce není dotčen nárok společnosti na předání předmětných informací ani ostatní ustanovení smlouvy.</w:t>
      </w:r>
    </w:p>
    <w:p w14:paraId="172D37D0" w14:textId="0BC34BEE" w:rsidR="00CF7B54" w:rsidRDefault="00967CD2" w:rsidP="00967CD2">
      <w:pPr>
        <w:jc w:val="center"/>
      </w:pPr>
      <w:r w:rsidRPr="00967CD2">
        <w:t>2024</w:t>
      </w:r>
    </w:p>
    <w:p w14:paraId="070D95C4" w14:textId="30B484DD" w:rsidR="00967CD2" w:rsidRPr="00B2719B" w:rsidRDefault="00967CD2" w:rsidP="00967CD2">
      <w:pPr>
        <w:spacing w:line="276" w:lineRule="auto"/>
        <w:ind w:left="851" w:hanging="567"/>
        <w:jc w:val="both"/>
        <w:rPr>
          <w:rFonts w:ascii="Garamond" w:hAnsi="Garamond"/>
          <w:b/>
          <w:sz w:val="23"/>
          <w:szCs w:val="23"/>
          <w:u w:val="single"/>
        </w:rPr>
      </w:pPr>
      <w:r>
        <w:rPr>
          <w:rFonts w:ascii="Garamond" w:hAnsi="Garamond"/>
          <w:bCs/>
          <w:sz w:val="23"/>
          <w:szCs w:val="23"/>
        </w:rPr>
        <w:t>9.</w:t>
      </w:r>
      <w:r>
        <w:rPr>
          <w:rFonts w:ascii="Garamond" w:hAnsi="Garamond"/>
          <w:bCs/>
          <w:sz w:val="23"/>
          <w:szCs w:val="23"/>
        </w:rPr>
        <w:tab/>
      </w:r>
      <w:r w:rsidRPr="00967CD2">
        <w:rPr>
          <w:rFonts w:ascii="Garamond" w:hAnsi="Garamond"/>
          <w:bCs/>
          <w:sz w:val="23"/>
          <w:szCs w:val="23"/>
        </w:rPr>
        <w:t xml:space="preserve">V případě, že obec uvede v dotazníku předloženém dle čl. IV. odst. 4 smlouvy nesprávný nebo neúplný údaj, je obec povinna předat společnosti opravný dotazník za příslušný kalendářní rok obsahující správné a úplné údaje, pro který platí, není-li uvedeno jinak, pravidla pro poskytování informací formou dotazníku podle čl. IV. odst. 4 smlouvy (podoba dotazníku atp.). Tento opravný dotazník je obec povinna předat společnosti </w:t>
      </w:r>
      <w:r w:rsidRPr="00B2719B">
        <w:rPr>
          <w:rFonts w:ascii="Garamond" w:hAnsi="Garamond"/>
          <w:b/>
          <w:sz w:val="23"/>
          <w:szCs w:val="23"/>
          <w:u w:val="single"/>
        </w:rPr>
        <w:t>bez zbytečného odkladu</w:t>
      </w:r>
      <w:r w:rsidRPr="00967CD2">
        <w:rPr>
          <w:rFonts w:ascii="Garamond" w:hAnsi="Garamond"/>
          <w:bCs/>
          <w:sz w:val="23"/>
          <w:szCs w:val="23"/>
        </w:rPr>
        <w:t xml:space="preserve">. </w:t>
      </w:r>
      <w:r w:rsidRPr="00B2719B">
        <w:rPr>
          <w:rFonts w:ascii="Garamond" w:hAnsi="Garamond"/>
          <w:b/>
          <w:sz w:val="23"/>
          <w:szCs w:val="23"/>
          <w:u w:val="single"/>
        </w:rPr>
        <w:t>Obec je povinna předat společnosti opravný dotazník i v případě, že nesprávnost dotazníku bude zjištěna auditem podle VOP.</w:t>
      </w:r>
    </w:p>
    <w:p w14:paraId="2F373388" w14:textId="1859ED2D" w:rsidR="00967CD2" w:rsidRDefault="00967CD2" w:rsidP="00967CD2">
      <w:pPr>
        <w:spacing w:line="276" w:lineRule="auto"/>
        <w:ind w:left="851" w:hanging="567"/>
        <w:jc w:val="both"/>
        <w:rPr>
          <w:rFonts w:ascii="Garamond" w:hAnsi="Garamond" w:cs="Arial"/>
          <w:bCs/>
          <w:sz w:val="23"/>
          <w:szCs w:val="23"/>
        </w:rPr>
      </w:pPr>
      <w:r>
        <w:rPr>
          <w:rFonts w:ascii="Garamond" w:hAnsi="Garamond" w:cs="Arial"/>
          <w:bCs/>
          <w:sz w:val="23"/>
          <w:szCs w:val="23"/>
        </w:rPr>
        <w:t>10.</w:t>
      </w:r>
      <w:r>
        <w:rPr>
          <w:rFonts w:ascii="Garamond" w:hAnsi="Garamond" w:cs="Arial"/>
          <w:bCs/>
          <w:sz w:val="23"/>
          <w:szCs w:val="23"/>
        </w:rPr>
        <w:tab/>
      </w:r>
      <w:r w:rsidRPr="00967CD2">
        <w:rPr>
          <w:rFonts w:ascii="Garamond" w:hAnsi="Garamond" w:cs="Arial"/>
          <w:bCs/>
          <w:sz w:val="23"/>
          <w:szCs w:val="23"/>
        </w:rPr>
        <w:t xml:space="preserve">V případě, že obec neposkytne společnosti informace dle čl. IV. odst. 4 smlouvy, popřípadě i část těchto informací, způsobem či ve lhůtě dle čl. IV. odst. 4 smlouvy, ani následně prostřednictvím opravného dotazníku způsobem dle čl. VII. odst. 9. VOP, je společnost oprávněna požadovat a obec povinna zaplatit smluvní pokutu. </w:t>
      </w:r>
      <w:r w:rsidRPr="00B2719B">
        <w:rPr>
          <w:rFonts w:ascii="Garamond" w:hAnsi="Garamond" w:cs="Arial"/>
          <w:b/>
          <w:sz w:val="23"/>
          <w:szCs w:val="23"/>
          <w:u w:val="single"/>
        </w:rPr>
        <w:t xml:space="preserve">V případě, že je nesprávnost zjištěna auditem, má obec na dodání řádně vyplněného dotazníku lhůtu 15 dní ode dne doručení závěrečné zprávy z auditu obci, jinak je společnost oprávněna požadovat a obec je povinna zaplatit společnosti smluvní pokutu. </w:t>
      </w:r>
      <w:r w:rsidRPr="00967CD2">
        <w:rPr>
          <w:rFonts w:ascii="Garamond" w:hAnsi="Garamond" w:cs="Arial"/>
          <w:bCs/>
          <w:sz w:val="23"/>
          <w:szCs w:val="23"/>
        </w:rPr>
        <w:t>Smluvní pokuta dle tohoto odstavce činí 0,8 % (osm desetin procenta) z celkové výše odměny uhrazené obci za kalendářní rok, jehož se porušení smluvní povinnosti týká, a to za každý jednotlivý případ pod podmínkou, že byla obec o nesplnění těchto svých povinností společností informována písemně či prostřednictvím elektronické pošty a obec tyto své povinnosti nesplnila ani v dodatečné přiměřené lhůtě, která ji byla za tímto účelem společností poskytnuta a která nebyla kratší patnácti (15) pracovních dnů ode dne následujícího dni doručení tohoto upozornění. Smluvní strany ujednávají, že smluvní pokuta dle tohoto ustanovení VOP může činit nejvýše 10.000, - Kč ročně. Ujednáním tohoto odstavce není dotčen nárok společnosti na předání předmětných informací ani ostatní ustanovení smlouvy.</w:t>
      </w:r>
    </w:p>
    <w:p w14:paraId="055AB753" w14:textId="77777777" w:rsidR="00967CD2" w:rsidRDefault="00967CD2" w:rsidP="00967CD2">
      <w:pPr>
        <w:spacing w:line="276" w:lineRule="auto"/>
        <w:ind w:left="851" w:hanging="567"/>
        <w:jc w:val="both"/>
        <w:rPr>
          <w:rFonts w:ascii="Garamond" w:hAnsi="Garamond" w:cs="Arial"/>
          <w:bCs/>
          <w:sz w:val="23"/>
          <w:szCs w:val="23"/>
        </w:rPr>
      </w:pPr>
    </w:p>
    <w:p w14:paraId="4D3C3831" w14:textId="77777777" w:rsidR="00967CD2" w:rsidRPr="00201AD3" w:rsidRDefault="00967CD2" w:rsidP="00967CD2">
      <w:pPr>
        <w:keepNext/>
        <w:keepLines/>
        <w:widowControl w:val="0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IX</w:t>
      </w:r>
      <w:r w:rsidRPr="00201AD3">
        <w:rPr>
          <w:rFonts w:ascii="Garamond" w:hAnsi="Garamond" w:cs="Arial"/>
          <w:b/>
          <w:sz w:val="24"/>
          <w:szCs w:val="24"/>
        </w:rPr>
        <w:t>.</w:t>
      </w:r>
      <w:r>
        <w:rPr>
          <w:rFonts w:ascii="Garamond" w:hAnsi="Garamond" w:cs="Arial"/>
          <w:b/>
          <w:sz w:val="24"/>
          <w:szCs w:val="24"/>
        </w:rPr>
        <w:t xml:space="preserve"> </w:t>
      </w:r>
    </w:p>
    <w:p w14:paraId="1A448FDD" w14:textId="77777777" w:rsidR="00967CD2" w:rsidRPr="00120BCB" w:rsidRDefault="00967CD2" w:rsidP="00967CD2">
      <w:pPr>
        <w:keepNext/>
        <w:keepLines/>
        <w:widowControl w:val="0"/>
        <w:ind w:hanging="425"/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120BCB">
        <w:rPr>
          <w:rFonts w:ascii="Garamond" w:hAnsi="Garamond" w:cs="Arial"/>
          <w:b/>
          <w:sz w:val="24"/>
          <w:szCs w:val="24"/>
        </w:rPr>
        <w:t>Odměna za zajiš</w:t>
      </w:r>
      <w:r>
        <w:rPr>
          <w:rFonts w:ascii="Garamond" w:hAnsi="Garamond" w:cs="Arial"/>
          <w:b/>
          <w:sz w:val="24"/>
          <w:szCs w:val="24"/>
        </w:rPr>
        <w:t>tění</w:t>
      </w:r>
      <w:r w:rsidRPr="00120BCB">
        <w:rPr>
          <w:rFonts w:ascii="Garamond" w:hAnsi="Garamond" w:cs="Arial"/>
          <w:b/>
          <w:sz w:val="24"/>
          <w:szCs w:val="24"/>
        </w:rPr>
        <w:t xml:space="preserve"> míst zpětného odběru</w:t>
      </w:r>
    </w:p>
    <w:p w14:paraId="6409E0F4" w14:textId="77777777" w:rsidR="00967CD2" w:rsidRDefault="00967CD2" w:rsidP="00967CD2">
      <w:pPr>
        <w:spacing w:line="276" w:lineRule="auto"/>
        <w:ind w:left="851" w:hanging="567"/>
        <w:rPr>
          <w:rFonts w:ascii="Garamond" w:hAnsi="Garamond"/>
          <w:bCs/>
          <w:sz w:val="23"/>
          <w:szCs w:val="23"/>
        </w:rPr>
      </w:pPr>
    </w:p>
    <w:p w14:paraId="4878E936" w14:textId="137C61B7" w:rsidR="00967CD2" w:rsidRDefault="00967CD2" w:rsidP="00967CD2">
      <w:pPr>
        <w:spacing w:line="276" w:lineRule="auto"/>
        <w:ind w:left="851" w:hanging="567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2023</w:t>
      </w:r>
    </w:p>
    <w:p w14:paraId="62F9EF38" w14:textId="2350E828" w:rsidR="00967CD2" w:rsidRPr="00967CD2" w:rsidRDefault="00967CD2" w:rsidP="00967CD2">
      <w:pPr>
        <w:widowControl w:val="0"/>
        <w:ind w:left="567" w:hanging="425"/>
        <w:jc w:val="both"/>
        <w:rPr>
          <w:rFonts w:ascii="Garamond" w:hAnsi="Garamond"/>
          <w:color w:val="C00000"/>
          <w:sz w:val="24"/>
          <w:szCs w:val="24"/>
        </w:rPr>
      </w:pPr>
      <w:r w:rsidRPr="00967CD2">
        <w:rPr>
          <w:rFonts w:ascii="Garamond" w:hAnsi="Garamond"/>
          <w:color w:val="C00000"/>
          <w:sz w:val="24"/>
          <w:szCs w:val="24"/>
        </w:rPr>
        <w:t>2.</w:t>
      </w:r>
      <w:r>
        <w:rPr>
          <w:rFonts w:ascii="Garamond" w:hAnsi="Garamond"/>
          <w:color w:val="C00000"/>
          <w:sz w:val="24"/>
          <w:szCs w:val="24"/>
        </w:rPr>
        <w:tab/>
      </w:r>
      <w:r w:rsidRPr="00967CD2">
        <w:rPr>
          <w:rFonts w:ascii="Garamond" w:hAnsi="Garamond"/>
          <w:color w:val="C00000"/>
          <w:sz w:val="24"/>
          <w:szCs w:val="24"/>
        </w:rPr>
        <w:t>Počet obyvatel obce v příslušném kalendářním roce se určí podle údaje o počtu obyvatel obce v předchozím kalendářním roce, zveřejněného Českým statistickým úřadem.</w:t>
      </w:r>
    </w:p>
    <w:p w14:paraId="1518E17B" w14:textId="5E2448B3" w:rsidR="00967CD2" w:rsidRDefault="00967CD2" w:rsidP="00967CD2">
      <w:pPr>
        <w:spacing w:line="276" w:lineRule="auto"/>
        <w:ind w:left="851" w:hanging="567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2024</w:t>
      </w:r>
    </w:p>
    <w:p w14:paraId="2208628A" w14:textId="0B67B1D5" w:rsidR="00967CD2" w:rsidRPr="00B2719B" w:rsidRDefault="00967CD2" w:rsidP="00967CD2">
      <w:pPr>
        <w:widowControl w:val="0"/>
        <w:spacing w:line="276" w:lineRule="auto"/>
        <w:ind w:left="567" w:hanging="425"/>
        <w:jc w:val="both"/>
        <w:rPr>
          <w:rFonts w:ascii="Garamond" w:hAnsi="Garamond"/>
          <w:b/>
          <w:bCs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>2.</w:t>
      </w:r>
      <w:r>
        <w:rPr>
          <w:rFonts w:ascii="Garamond" w:hAnsi="Garamond"/>
          <w:sz w:val="23"/>
          <w:szCs w:val="23"/>
        </w:rPr>
        <w:tab/>
      </w:r>
      <w:r w:rsidRPr="00967CD2">
        <w:rPr>
          <w:rFonts w:ascii="Garamond" w:hAnsi="Garamond"/>
          <w:sz w:val="23"/>
          <w:szCs w:val="23"/>
        </w:rPr>
        <w:t xml:space="preserve">Počet obyvatel obce v příslušném kalendářním roce se určí podle Českým statistickým úřadem zveřejněného údaje o počtu obyvatel v obcích v České republice </w:t>
      </w:r>
      <w:r w:rsidRPr="00B2719B">
        <w:rPr>
          <w:rFonts w:ascii="Garamond" w:hAnsi="Garamond"/>
          <w:b/>
          <w:bCs/>
          <w:sz w:val="23"/>
          <w:szCs w:val="23"/>
          <w:u w:val="single"/>
        </w:rPr>
        <w:t xml:space="preserve">k 1. lednu kalendářního roku, který předchází kalendářnímu roku, ve kterém je dané Období, za nějž se odměna stanovuje. Pokud nebude možné zjistit počet obyvatel v obcích v České republice dle </w:t>
      </w:r>
      <w:r w:rsidRPr="00B2719B">
        <w:rPr>
          <w:rFonts w:ascii="Garamond" w:hAnsi="Garamond"/>
          <w:b/>
          <w:bCs/>
          <w:sz w:val="23"/>
          <w:szCs w:val="23"/>
          <w:u w:val="single"/>
        </w:rPr>
        <w:lastRenderedPageBreak/>
        <w:t xml:space="preserve">věty první tohoto odstavce do 1. ledna kalendářního roku, v němž je dané Období, bude počet obyvatel v obcích v České republice v celém příslušném kalendářním roce určen dle posledních známých údajů o počtu obyvatel v obcích v České republice zveřejněných Českým statistickým úřadem v předcházejících letech. </w:t>
      </w:r>
    </w:p>
    <w:p w14:paraId="4D005D4E" w14:textId="77777777" w:rsidR="00967CD2" w:rsidRPr="00B2719B" w:rsidRDefault="00967CD2" w:rsidP="00967CD2">
      <w:pPr>
        <w:spacing w:line="276" w:lineRule="auto"/>
        <w:ind w:left="567" w:hanging="425"/>
        <w:jc w:val="center"/>
        <w:rPr>
          <w:rFonts w:ascii="Garamond" w:hAnsi="Garamond"/>
          <w:b/>
          <w:bCs/>
          <w:sz w:val="23"/>
          <w:szCs w:val="23"/>
          <w:u w:val="single"/>
        </w:rPr>
      </w:pPr>
    </w:p>
    <w:p w14:paraId="081C7B54" w14:textId="77777777" w:rsidR="00967CD2" w:rsidRPr="00967CD2" w:rsidRDefault="00967CD2" w:rsidP="00967CD2"/>
    <w:sectPr w:rsidR="00967CD2" w:rsidRPr="009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316F0"/>
    <w:multiLevelType w:val="hybridMultilevel"/>
    <w:tmpl w:val="167AC0EA"/>
    <w:lvl w:ilvl="0" w:tplc="B6AA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84F4F"/>
    <w:multiLevelType w:val="hybridMultilevel"/>
    <w:tmpl w:val="167AC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C5062"/>
    <w:multiLevelType w:val="multilevel"/>
    <w:tmpl w:val="1CAC507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241727">
    <w:abstractNumId w:val="0"/>
  </w:num>
  <w:num w:numId="2" w16cid:durableId="897474775">
    <w:abstractNumId w:val="1"/>
  </w:num>
  <w:num w:numId="3" w16cid:durableId="115055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54"/>
    <w:rsid w:val="00534BF9"/>
    <w:rsid w:val="00967CD2"/>
    <w:rsid w:val="00B2719B"/>
    <w:rsid w:val="00CF7B54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CCDE"/>
  <w15:chartTrackingRefBased/>
  <w15:docId w15:val="{58887DFB-9A77-42C4-8E66-C72F4D53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B54"/>
    <w:pPr>
      <w:spacing w:line="259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F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B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B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B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B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B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B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7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7B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CF7B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7B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7B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7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Martina</dc:creator>
  <cp:keywords/>
  <dc:description/>
  <cp:lastModifiedBy>Filipová Martina</cp:lastModifiedBy>
  <cp:revision>2</cp:revision>
  <cp:lastPrinted>2024-11-01T09:46:00Z</cp:lastPrinted>
  <dcterms:created xsi:type="dcterms:W3CDTF">2024-11-01T08:52:00Z</dcterms:created>
  <dcterms:modified xsi:type="dcterms:W3CDTF">2024-11-01T09:54:00Z</dcterms:modified>
</cp:coreProperties>
</file>