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94" w:rsidRDefault="00BD5494" w:rsidP="00BD549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en-US"/>
        </w:rPr>
      </w:pPr>
      <w:r w:rsidRPr="00BD5494">
        <w:rPr>
          <w:b/>
          <w:color w:val="000000"/>
          <w:sz w:val="28"/>
          <w:szCs w:val="28"/>
          <w:lang w:val="en-US"/>
        </w:rPr>
        <w:t>Project Idea Fiche</w:t>
      </w:r>
    </w:p>
    <w:p w:rsidR="00BD5494" w:rsidRPr="00BD5494" w:rsidRDefault="00BD5494" w:rsidP="00BD549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en-US"/>
        </w:rPr>
      </w:pPr>
    </w:p>
    <w:p w:rsidR="004A2A8A" w:rsidRPr="0022558C" w:rsidRDefault="004A2A8A" w:rsidP="004A2A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 w:rsidRPr="0022558C">
        <w:rPr>
          <w:color w:val="000000"/>
          <w:lang w:val="en-US"/>
        </w:rPr>
        <w:t xml:space="preserve">Program: </w:t>
      </w:r>
      <w:r w:rsidRPr="0022558C">
        <w:rPr>
          <w:color w:val="000000"/>
          <w:lang w:val="en-US"/>
        </w:rPr>
        <w:tab/>
      </w:r>
      <w:r w:rsidRPr="0022558C">
        <w:rPr>
          <w:color w:val="000000"/>
          <w:lang w:val="en-US"/>
        </w:rPr>
        <w:tab/>
      </w:r>
      <w:r w:rsidRPr="0022558C">
        <w:rPr>
          <w:color w:val="000000"/>
          <w:lang w:val="en-US"/>
        </w:rPr>
        <w:tab/>
        <w:t>Interreg Europe 2021-27 (3. Call 2024)</w:t>
      </w:r>
    </w:p>
    <w:p w:rsidR="004A2A8A" w:rsidRPr="0022558C" w:rsidRDefault="004A2A8A" w:rsidP="004A2A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 w:rsidRPr="0022558C">
        <w:rPr>
          <w:color w:val="000000"/>
          <w:lang w:val="en-US"/>
        </w:rPr>
        <w:t xml:space="preserve">Policy Objective: </w:t>
      </w:r>
      <w:r w:rsidRPr="0022558C">
        <w:rPr>
          <w:color w:val="000000"/>
          <w:lang w:val="en-US"/>
        </w:rPr>
        <w:tab/>
      </w:r>
      <w:r w:rsidRPr="0022558C">
        <w:rPr>
          <w:color w:val="000000"/>
          <w:lang w:val="en-US"/>
        </w:rPr>
        <w:tab/>
        <w:t>2. A greener Europe</w:t>
      </w:r>
    </w:p>
    <w:p w:rsidR="004A2A8A" w:rsidRPr="004A2A8A" w:rsidRDefault="004A2A8A" w:rsidP="004A2A8A">
      <w:pPr>
        <w:rPr>
          <w:lang w:val="en-US"/>
        </w:rPr>
      </w:pPr>
      <w:r w:rsidRPr="0022558C">
        <w:rPr>
          <w:color w:val="000000"/>
          <w:lang w:val="en-US"/>
        </w:rPr>
        <w:t xml:space="preserve">Specific Objective: </w:t>
      </w:r>
      <w:r w:rsidRPr="0022558C">
        <w:rPr>
          <w:color w:val="000000"/>
          <w:lang w:val="en-US"/>
        </w:rPr>
        <w:tab/>
      </w:r>
      <w:r w:rsidRPr="0022558C">
        <w:rPr>
          <w:color w:val="000000"/>
          <w:lang w:val="en-US"/>
        </w:rPr>
        <w:tab/>
        <w:t>(</w:t>
      </w:r>
      <w:r>
        <w:rPr>
          <w:color w:val="000000"/>
          <w:lang w:val="en-US"/>
        </w:rPr>
        <w:t>vi</w:t>
      </w:r>
      <w:r w:rsidRPr="0022558C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>Circular and resource efficient economy</w:t>
      </w:r>
    </w:p>
    <w:p w:rsidR="004A2A8A" w:rsidRPr="004A2A8A" w:rsidRDefault="004A2A8A">
      <w:pPr>
        <w:rPr>
          <w:lang w:val="en-US"/>
        </w:rPr>
      </w:pPr>
    </w:p>
    <w:p w:rsidR="005C3D25" w:rsidRPr="00BD5494" w:rsidRDefault="005C3D25" w:rsidP="005C3D25">
      <w:pPr>
        <w:rPr>
          <w:b/>
          <w:lang w:val="en-US"/>
        </w:rPr>
      </w:pPr>
      <w:r w:rsidRPr="00BD5494">
        <w:rPr>
          <w:b/>
          <w:lang w:val="en-US"/>
        </w:rPr>
        <w:t>Greening Land Use Policy</w:t>
      </w:r>
      <w:r w:rsidR="004E2DCD">
        <w:rPr>
          <w:b/>
          <w:lang w:val="en-US"/>
        </w:rPr>
        <w:t xml:space="preserve"> through the circular land management</w:t>
      </w:r>
      <w:r w:rsidRPr="00BD5494">
        <w:rPr>
          <w:b/>
          <w:lang w:val="en-US"/>
        </w:rPr>
        <w:t xml:space="preserve"> (Green LUPO)</w:t>
      </w:r>
    </w:p>
    <w:p w:rsidR="005C3D25" w:rsidRPr="005C3D25" w:rsidRDefault="005C3D25" w:rsidP="005C3D25">
      <w:pPr>
        <w:rPr>
          <w:lang w:val="en-US"/>
        </w:rPr>
      </w:pPr>
      <w:r w:rsidRPr="005C3D25">
        <w:rPr>
          <w:lang w:val="en-US"/>
        </w:rPr>
        <w:t xml:space="preserve">The goal of </w:t>
      </w:r>
      <w:r w:rsidR="00CD2A06" w:rsidRPr="005C3D25">
        <w:rPr>
          <w:lang w:val="en-US"/>
        </w:rPr>
        <w:t>'</w:t>
      </w:r>
      <w:r w:rsidR="00DA3EE7">
        <w:rPr>
          <w:lang w:val="en-US"/>
        </w:rPr>
        <w:t>no</w:t>
      </w:r>
      <w:r w:rsidRPr="005C3D25">
        <w:rPr>
          <w:lang w:val="en-US"/>
        </w:rPr>
        <w:t xml:space="preserve"> net land </w:t>
      </w:r>
      <w:r w:rsidR="00DA3EE7">
        <w:rPr>
          <w:lang w:val="en-US"/>
        </w:rPr>
        <w:t>take</w:t>
      </w:r>
      <w:r w:rsidRPr="005C3D25">
        <w:rPr>
          <w:lang w:val="en-US"/>
        </w:rPr>
        <w:t xml:space="preserve"> by 2050', which was proclaimed by the European Commission in 2011 </w:t>
      </w:r>
      <w:r>
        <w:rPr>
          <w:lang w:val="en-US"/>
        </w:rPr>
        <w:t>as part of</w:t>
      </w:r>
      <w:r w:rsidRPr="005C3D25">
        <w:rPr>
          <w:lang w:val="en-US"/>
        </w:rPr>
        <w:t xml:space="preserve"> the Roadmap to a Resource Efficient Europe, is part of the European Union's 7th Environmental Action Program and has been confirmed by the European Commission's recently adopted Soil Strategy. </w:t>
      </w:r>
    </w:p>
    <w:p w:rsidR="00CD2A06" w:rsidRPr="00034823" w:rsidRDefault="005C3D25" w:rsidP="00CD2A06">
      <w:pPr>
        <w:rPr>
          <w:lang w:val="en-US"/>
        </w:rPr>
      </w:pPr>
      <w:r w:rsidRPr="005C3D25">
        <w:rPr>
          <w:lang w:val="en-US"/>
        </w:rPr>
        <w:t xml:space="preserve">In the long term (by 2050), the further expansion of settlement and transport areas at the expense of open spaces is to be completely replaced by a circular economy. </w:t>
      </w:r>
      <w:r w:rsidR="00CD2A06" w:rsidRPr="00CD2A06">
        <w:rPr>
          <w:lang w:val="en-US"/>
        </w:rPr>
        <w:t>Many Member States have already set earlier milestones</w:t>
      </w:r>
      <w:r w:rsidR="00BD5494">
        <w:rPr>
          <w:lang w:val="en-US"/>
        </w:rPr>
        <w:t xml:space="preserve"> (e.g. 2030). These now</w:t>
      </w:r>
      <w:r w:rsidR="00CD2A06" w:rsidRPr="00CD2A06">
        <w:rPr>
          <w:lang w:val="en-US"/>
        </w:rPr>
        <w:t xml:space="preserve"> </w:t>
      </w:r>
      <w:r w:rsidR="00946F15">
        <w:rPr>
          <w:lang w:val="en-US"/>
        </w:rPr>
        <w:t>must</w:t>
      </w:r>
      <w:r w:rsidR="00CD2A06" w:rsidRPr="00CD2A06">
        <w:rPr>
          <w:lang w:val="en-US"/>
        </w:rPr>
        <w:t xml:space="preserve"> be backed up by concrete measures</w:t>
      </w:r>
      <w:r w:rsidR="00BD5494">
        <w:rPr>
          <w:lang w:val="en-US"/>
        </w:rPr>
        <w:t>.</w:t>
      </w:r>
    </w:p>
    <w:p w:rsidR="005C3D25" w:rsidRPr="005C3D25" w:rsidRDefault="005C3D25" w:rsidP="005C3D25">
      <w:pPr>
        <w:rPr>
          <w:lang w:val="en-US"/>
        </w:rPr>
      </w:pPr>
      <w:r w:rsidRPr="005C3D25">
        <w:rPr>
          <w:lang w:val="en-US"/>
        </w:rPr>
        <w:t>However, only part of the additional land requirements can be met by infill development</w:t>
      </w:r>
      <w:r w:rsidR="00CD2A06">
        <w:rPr>
          <w:lang w:val="en-US"/>
        </w:rPr>
        <w:t>, urban consolidation</w:t>
      </w:r>
      <w:r w:rsidRPr="005C3D25">
        <w:rPr>
          <w:lang w:val="en-US"/>
        </w:rPr>
        <w:t xml:space="preserve"> or brownfield redevelopment. Therefore, a considerable amount of new land use is still expected, for which unneeded </w:t>
      </w:r>
      <w:r w:rsidR="00CD2A06">
        <w:rPr>
          <w:lang w:val="en-US"/>
        </w:rPr>
        <w:t>built-up</w:t>
      </w:r>
      <w:r w:rsidRPr="005C3D25">
        <w:rPr>
          <w:lang w:val="en-US"/>
        </w:rPr>
        <w:t xml:space="preserve"> areas will have to be converted into open space. </w:t>
      </w:r>
    </w:p>
    <w:p w:rsidR="005C3D25" w:rsidRPr="005C3D25" w:rsidRDefault="005C3D25" w:rsidP="005C3D25">
      <w:pPr>
        <w:rPr>
          <w:lang w:val="en-US"/>
        </w:rPr>
      </w:pPr>
      <w:r w:rsidRPr="005C3D25">
        <w:rPr>
          <w:lang w:val="en-US"/>
        </w:rPr>
        <w:t xml:space="preserve">Against this background, the usual procedures of land use policy </w:t>
      </w:r>
      <w:r w:rsidR="00966720">
        <w:rPr>
          <w:lang w:val="en-US"/>
        </w:rPr>
        <w:t>should</w:t>
      </w:r>
      <w:r w:rsidRPr="005C3D25">
        <w:rPr>
          <w:lang w:val="en-US"/>
        </w:rPr>
        <w:t xml:space="preserve"> be fundamentally rethought in order to become more flexible and to encourage new approaches. </w:t>
      </w:r>
      <w:r w:rsidR="00785715" w:rsidRPr="00785715">
        <w:rPr>
          <w:lang w:val="en-US"/>
        </w:rPr>
        <w:t>The aim is to better coordinate sectoral policies, each of which has its own effect on the use of new land (spatial planning with its supra-local and interdisciplinary approach is the best starting point for this).</w:t>
      </w:r>
      <w:r w:rsidR="00785715">
        <w:rPr>
          <w:lang w:val="en-US"/>
        </w:rPr>
        <w:t xml:space="preserve"> </w:t>
      </w:r>
      <w:r w:rsidRPr="005C3D25">
        <w:rPr>
          <w:lang w:val="en-US"/>
        </w:rPr>
        <w:t xml:space="preserve">Land use policies </w:t>
      </w:r>
      <w:r w:rsidR="00946F15">
        <w:rPr>
          <w:lang w:val="en-US"/>
        </w:rPr>
        <w:t>have</w:t>
      </w:r>
      <w:r w:rsidRPr="005C3D25">
        <w:rPr>
          <w:lang w:val="en-US"/>
        </w:rPr>
        <w:t xml:space="preserve"> to be adapted to the </w:t>
      </w:r>
      <w:r w:rsidR="00946F15">
        <w:rPr>
          <w:lang w:val="en-US"/>
        </w:rPr>
        <w:t>demands</w:t>
      </w:r>
      <w:r w:rsidRPr="005C3D25">
        <w:rPr>
          <w:lang w:val="en-US"/>
        </w:rPr>
        <w:t xml:space="preserve"> of a circular land economy and be compatible with new economic instruments. Examples include land use trading and the EU Taxonomy Regulation (in particular environmental objective 8).  </w:t>
      </w:r>
    </w:p>
    <w:p w:rsidR="005C3D25" w:rsidRPr="005C3D25" w:rsidRDefault="005C3D25" w:rsidP="005C3D25">
      <w:pPr>
        <w:rPr>
          <w:lang w:val="en-US"/>
        </w:rPr>
      </w:pPr>
      <w:r w:rsidRPr="005C3D25">
        <w:rPr>
          <w:lang w:val="en-US"/>
        </w:rPr>
        <w:t xml:space="preserve">The planned project will focus on the revision of typical land use policy instruments (e.g. spatial planning laws, state development plans, regional plans, supra-local and local spatial planning </w:t>
      </w:r>
      <w:r w:rsidR="008E7A85" w:rsidRPr="005C3D25">
        <w:rPr>
          <w:lang w:val="en-US"/>
        </w:rPr>
        <w:t>programs</w:t>
      </w:r>
      <w:r w:rsidRPr="005C3D25">
        <w:rPr>
          <w:lang w:val="en-US"/>
        </w:rPr>
        <w:t xml:space="preserve">, land development funding </w:t>
      </w:r>
      <w:r w:rsidR="008E7A85" w:rsidRPr="005C3D25">
        <w:rPr>
          <w:lang w:val="en-US"/>
        </w:rPr>
        <w:t>programs</w:t>
      </w:r>
      <w:r w:rsidRPr="005C3D25">
        <w:rPr>
          <w:lang w:val="en-US"/>
        </w:rPr>
        <w:t xml:space="preserve">) in order to adapt them to the requirements of a circular land economy. </w:t>
      </w:r>
    </w:p>
    <w:p w:rsidR="005C3D25" w:rsidRDefault="005C3D25" w:rsidP="005C3D25">
      <w:pPr>
        <w:rPr>
          <w:lang w:val="en-US"/>
        </w:rPr>
      </w:pPr>
      <w:r w:rsidRPr="005C3D25">
        <w:rPr>
          <w:lang w:val="en-US"/>
        </w:rPr>
        <w:t xml:space="preserve">The policy learning process will address precisely those issues that should be reflected in the selected policy instruments of the partners, </w:t>
      </w:r>
      <w:r w:rsidR="00785715">
        <w:rPr>
          <w:lang w:val="en-US"/>
        </w:rPr>
        <w:t>e.g.</w:t>
      </w:r>
    </w:p>
    <w:p w:rsidR="00785715" w:rsidRPr="002C6B3B" w:rsidRDefault="00785715" w:rsidP="002C6B3B">
      <w:pPr>
        <w:pStyle w:val="Listenabsatz"/>
        <w:numPr>
          <w:ilvl w:val="0"/>
          <w:numId w:val="10"/>
        </w:numPr>
        <w:rPr>
          <w:lang w:val="en-US"/>
        </w:rPr>
      </w:pPr>
      <w:r w:rsidRPr="002C6B3B">
        <w:rPr>
          <w:lang w:val="en-US"/>
        </w:rPr>
        <w:t>Manage land use competition more effectively using spatial planning tools</w:t>
      </w:r>
    </w:p>
    <w:p w:rsidR="00785715" w:rsidRPr="002C6B3B" w:rsidRDefault="00785715" w:rsidP="002C6B3B">
      <w:pPr>
        <w:pStyle w:val="Listenabsatz"/>
        <w:numPr>
          <w:ilvl w:val="0"/>
          <w:numId w:val="10"/>
        </w:numPr>
        <w:rPr>
          <w:lang w:val="en-US"/>
        </w:rPr>
      </w:pPr>
      <w:r w:rsidRPr="002C6B3B">
        <w:rPr>
          <w:lang w:val="en-US"/>
        </w:rPr>
        <w:t>Implement integrated planning approaches in spatial development plans (identify cross-references to other sectoral plans/policies)</w:t>
      </w:r>
    </w:p>
    <w:p w:rsidR="00785715" w:rsidRPr="002C6B3B" w:rsidRDefault="00785715" w:rsidP="002C6B3B">
      <w:pPr>
        <w:pStyle w:val="Listenabsatz"/>
        <w:numPr>
          <w:ilvl w:val="0"/>
          <w:numId w:val="10"/>
        </w:numPr>
        <w:rPr>
          <w:lang w:val="en-US"/>
        </w:rPr>
      </w:pPr>
      <w:r w:rsidRPr="002C6B3B">
        <w:rPr>
          <w:lang w:val="en-US"/>
        </w:rPr>
        <w:t>Identify potential for more multifunctional land use.</w:t>
      </w:r>
    </w:p>
    <w:p w:rsidR="005C3D25" w:rsidRPr="002C6B3B" w:rsidRDefault="005C3D25" w:rsidP="002C6B3B">
      <w:pPr>
        <w:pStyle w:val="Listenabsatz"/>
        <w:numPr>
          <w:ilvl w:val="0"/>
          <w:numId w:val="10"/>
        </w:numPr>
        <w:spacing w:after="120"/>
        <w:rPr>
          <w:lang w:val="en-US"/>
        </w:rPr>
      </w:pPr>
      <w:r w:rsidRPr="002C6B3B">
        <w:rPr>
          <w:lang w:val="en-US"/>
        </w:rPr>
        <w:t xml:space="preserve">Land use </w:t>
      </w:r>
      <w:r w:rsidR="00785715" w:rsidRPr="002C6B3B">
        <w:rPr>
          <w:lang w:val="en-US"/>
        </w:rPr>
        <w:t>statistics &amp; demand assessment</w:t>
      </w:r>
      <w:r w:rsidRPr="002C6B3B">
        <w:rPr>
          <w:lang w:val="en-US"/>
        </w:rPr>
        <w:t xml:space="preserve"> (status quo &amp; ongoing monitoring)</w:t>
      </w:r>
    </w:p>
    <w:p w:rsidR="005C3D25" w:rsidRPr="002C6B3B" w:rsidRDefault="005C3D25" w:rsidP="002C6B3B">
      <w:pPr>
        <w:pStyle w:val="Listenabsatz"/>
        <w:numPr>
          <w:ilvl w:val="0"/>
          <w:numId w:val="10"/>
        </w:numPr>
        <w:spacing w:after="120"/>
        <w:rPr>
          <w:lang w:val="en-US"/>
        </w:rPr>
      </w:pPr>
      <w:r w:rsidRPr="002C6B3B">
        <w:rPr>
          <w:lang w:val="en-US"/>
        </w:rPr>
        <w:t xml:space="preserve">Guidelines for reducing land consumption as part of land use policy, following the "Avoid - Reuse - </w:t>
      </w:r>
      <w:r w:rsidR="008E7A85" w:rsidRPr="002C6B3B">
        <w:rPr>
          <w:lang w:val="en-US"/>
        </w:rPr>
        <w:t>Minimize</w:t>
      </w:r>
      <w:r w:rsidRPr="002C6B3B">
        <w:rPr>
          <w:lang w:val="en-US"/>
        </w:rPr>
        <w:t xml:space="preserve"> - Compensate" approach.</w:t>
      </w:r>
    </w:p>
    <w:p w:rsidR="00452486" w:rsidRPr="002C6B3B" w:rsidRDefault="005C3D25" w:rsidP="002C6B3B">
      <w:pPr>
        <w:pStyle w:val="Listenabsatz"/>
        <w:numPr>
          <w:ilvl w:val="0"/>
          <w:numId w:val="10"/>
        </w:numPr>
        <w:spacing w:after="120"/>
        <w:rPr>
          <w:lang w:val="en-US"/>
        </w:rPr>
      </w:pPr>
      <w:r w:rsidRPr="002C6B3B">
        <w:rPr>
          <w:lang w:val="en-US"/>
        </w:rPr>
        <w:t>Implementation/derivation of a land use hierarchy to increase circular land use</w:t>
      </w:r>
    </w:p>
    <w:p w:rsidR="00415C62" w:rsidRDefault="00415C62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785715" w:rsidRDefault="00785715" w:rsidP="00785715">
      <w:pPr>
        <w:rPr>
          <w:lang w:val="en-US"/>
        </w:rPr>
      </w:pPr>
      <w:r w:rsidRPr="00785715">
        <w:rPr>
          <w:b/>
          <w:lang w:val="en-US"/>
        </w:rPr>
        <w:lastRenderedPageBreak/>
        <w:t>Timeline</w:t>
      </w:r>
    </w:p>
    <w:p w:rsidR="00785715" w:rsidRDefault="00785715" w:rsidP="00785715">
      <w:pPr>
        <w:spacing w:after="120"/>
        <w:rPr>
          <w:lang w:val="en-US"/>
        </w:rPr>
      </w:pPr>
      <w:r>
        <w:rPr>
          <w:lang w:val="en-US"/>
        </w:rPr>
        <w:t>Submission of application</w:t>
      </w:r>
      <w:r w:rsidR="00415C62">
        <w:rPr>
          <w:lang w:val="en-US"/>
        </w:rPr>
        <w:t xml:space="preserve">: </w:t>
      </w:r>
      <w:r w:rsidR="00415C62" w:rsidRPr="00415C62">
        <w:rPr>
          <w:lang w:val="en-US"/>
        </w:rPr>
        <w:t xml:space="preserve"> </w:t>
      </w:r>
      <w:r w:rsidR="00415C62">
        <w:rPr>
          <w:lang w:val="en-US"/>
        </w:rPr>
        <w:t>June 2024</w:t>
      </w:r>
    </w:p>
    <w:p w:rsidR="00785715" w:rsidRDefault="00785715" w:rsidP="00785715">
      <w:pPr>
        <w:spacing w:after="120"/>
        <w:rPr>
          <w:lang w:val="en-US"/>
        </w:rPr>
      </w:pPr>
      <w:r>
        <w:rPr>
          <w:lang w:val="en-US"/>
        </w:rPr>
        <w:t xml:space="preserve">Project duration:  </w:t>
      </w:r>
      <w:r w:rsidR="00415C62">
        <w:rPr>
          <w:lang w:val="en-US"/>
        </w:rPr>
        <w:t>48 months, starting early 2025</w:t>
      </w:r>
    </w:p>
    <w:p w:rsidR="00785715" w:rsidRDefault="00785715" w:rsidP="00785715">
      <w:pPr>
        <w:spacing w:after="120"/>
        <w:rPr>
          <w:lang w:val="en-US"/>
        </w:rPr>
      </w:pPr>
    </w:p>
    <w:p w:rsidR="00785715" w:rsidRPr="00785715" w:rsidRDefault="00785715" w:rsidP="00785715">
      <w:pPr>
        <w:spacing w:after="120"/>
        <w:rPr>
          <w:b/>
          <w:lang w:val="en-US"/>
        </w:rPr>
      </w:pPr>
      <w:bookmarkStart w:id="0" w:name="_GoBack"/>
      <w:r w:rsidRPr="00785715">
        <w:rPr>
          <w:b/>
          <w:lang w:val="en-US"/>
        </w:rPr>
        <w:t>Partnership</w:t>
      </w:r>
    </w:p>
    <w:p w:rsidR="00785715" w:rsidRDefault="00785715" w:rsidP="00785715">
      <w:pPr>
        <w:spacing w:after="120"/>
        <w:rPr>
          <w:lang w:val="en-US"/>
        </w:rPr>
      </w:pPr>
      <w:r w:rsidRPr="002C6B3B">
        <w:rPr>
          <w:b/>
          <w:i/>
          <w:lang w:val="en-US"/>
        </w:rPr>
        <w:t>Lead Partner</w:t>
      </w:r>
      <w:r>
        <w:rPr>
          <w:lang w:val="en-US"/>
        </w:rPr>
        <w:t>:  Thuringia Ministry for Infrastructure and Agriculture TMIL (DE)</w:t>
      </w:r>
    </w:p>
    <w:p w:rsidR="00785715" w:rsidRDefault="00785715" w:rsidP="00785715">
      <w:pPr>
        <w:spacing w:after="120"/>
        <w:rPr>
          <w:lang w:val="en-US"/>
        </w:rPr>
      </w:pPr>
      <w:r w:rsidRPr="002C6B3B">
        <w:rPr>
          <w:b/>
          <w:i/>
          <w:lang w:val="en-US"/>
        </w:rPr>
        <w:t>envisaged project partners</w:t>
      </w:r>
      <w:r>
        <w:rPr>
          <w:lang w:val="en-US"/>
        </w:rPr>
        <w:t>:  regional</w:t>
      </w:r>
      <w:r w:rsidR="002C6B3B">
        <w:rPr>
          <w:lang w:val="en-US"/>
        </w:rPr>
        <w:t xml:space="preserve"> (national) land use</w:t>
      </w:r>
      <w:r>
        <w:rPr>
          <w:lang w:val="en-US"/>
        </w:rPr>
        <w:t xml:space="preserve"> authorities </w:t>
      </w:r>
      <w:r w:rsidR="002C6B3B">
        <w:rPr>
          <w:lang w:val="en-US"/>
        </w:rPr>
        <w:t>(from EU27, Norway, Switzerland, 6 candidate countries)</w:t>
      </w:r>
    </w:p>
    <w:bookmarkEnd w:id="0"/>
    <w:p w:rsidR="00415C62" w:rsidRDefault="00415C62" w:rsidP="00785715">
      <w:pPr>
        <w:spacing w:after="120"/>
        <w:rPr>
          <w:lang w:val="en-US"/>
        </w:rPr>
      </w:pPr>
    </w:p>
    <w:p w:rsidR="002C6B3B" w:rsidRPr="002C6B3B" w:rsidRDefault="002C6B3B" w:rsidP="00785715">
      <w:pPr>
        <w:spacing w:after="120"/>
        <w:rPr>
          <w:b/>
          <w:lang w:val="en-US"/>
        </w:rPr>
      </w:pPr>
      <w:r w:rsidRPr="002C6B3B">
        <w:rPr>
          <w:b/>
          <w:lang w:val="en-US"/>
        </w:rPr>
        <w:t>Policy Instrument</w:t>
      </w:r>
    </w:p>
    <w:p w:rsidR="002C6B3B" w:rsidRDefault="002C6B3B" w:rsidP="002C6B3B">
      <w:pPr>
        <w:spacing w:after="120"/>
        <w:rPr>
          <w:lang w:val="en-US"/>
        </w:rPr>
      </w:pPr>
      <w:r w:rsidRPr="002C6B3B">
        <w:rPr>
          <w:lang w:val="en-US"/>
        </w:rPr>
        <w:t>Each partner should incorporate the findings of the learning process into a selected policy instrument within its area of responsibility or prepare its revision</w:t>
      </w:r>
      <w:r w:rsidR="00415C62">
        <w:rPr>
          <w:lang w:val="en-US"/>
        </w:rPr>
        <w:t xml:space="preserve"> (</w:t>
      </w:r>
      <w:r w:rsidR="00415C62" w:rsidRPr="005C3D25">
        <w:rPr>
          <w:lang w:val="en-US"/>
        </w:rPr>
        <w:t xml:space="preserve">e.g. spatial planning laws, state development plans, regional plans, supra-local and local spatial planning </w:t>
      </w:r>
      <w:r w:rsidR="008E7A85" w:rsidRPr="005C3D25">
        <w:rPr>
          <w:lang w:val="en-US"/>
        </w:rPr>
        <w:t>programs</w:t>
      </w:r>
      <w:r w:rsidR="00415C62" w:rsidRPr="005C3D25">
        <w:rPr>
          <w:lang w:val="en-US"/>
        </w:rPr>
        <w:t xml:space="preserve">, land development funding </w:t>
      </w:r>
      <w:r w:rsidR="008E7A85" w:rsidRPr="005C3D25">
        <w:rPr>
          <w:lang w:val="en-US"/>
        </w:rPr>
        <w:t>programs</w:t>
      </w:r>
      <w:r w:rsidR="00415C62" w:rsidRPr="005C3D25">
        <w:rPr>
          <w:lang w:val="en-US"/>
        </w:rPr>
        <w:t>)</w:t>
      </w:r>
      <w:r w:rsidR="00415C62">
        <w:rPr>
          <w:lang w:val="en-US"/>
        </w:rPr>
        <w:t xml:space="preserve">. </w:t>
      </w:r>
      <w:r w:rsidR="00415C62" w:rsidRPr="00415C62">
        <w:rPr>
          <w:lang w:val="en-US"/>
        </w:rPr>
        <w:t>Operational programs from the ERDF (Jobs &amp; growth programs) are particularly welcome</w:t>
      </w:r>
      <w:r w:rsidR="00415C62">
        <w:rPr>
          <w:lang w:val="en-US"/>
        </w:rPr>
        <w:t xml:space="preserve"> as policy instrument. </w:t>
      </w:r>
    </w:p>
    <w:p w:rsidR="00415C62" w:rsidRDefault="00415C62" w:rsidP="002C6B3B">
      <w:pPr>
        <w:spacing w:after="120"/>
        <w:rPr>
          <w:lang w:val="en-US"/>
        </w:rPr>
      </w:pPr>
    </w:p>
    <w:p w:rsidR="008E7A85" w:rsidRDefault="008E7A85" w:rsidP="002C6B3B">
      <w:pPr>
        <w:spacing w:after="120"/>
        <w:rPr>
          <w:lang w:val="en-US"/>
        </w:rPr>
      </w:pPr>
    </w:p>
    <w:p w:rsidR="008E7A85" w:rsidRDefault="008E7A85" w:rsidP="002C6B3B">
      <w:pPr>
        <w:spacing w:after="120"/>
        <w:rPr>
          <w:lang w:val="en-US"/>
        </w:rPr>
      </w:pPr>
    </w:p>
    <w:p w:rsidR="008E7A85" w:rsidRDefault="008E7A85" w:rsidP="002C6B3B">
      <w:pPr>
        <w:spacing w:after="120"/>
        <w:rPr>
          <w:lang w:val="en-US"/>
        </w:rPr>
      </w:pPr>
    </w:p>
    <w:p w:rsidR="008E7A85" w:rsidRDefault="008E7A85" w:rsidP="002C6B3B">
      <w:pPr>
        <w:spacing w:after="120"/>
        <w:rPr>
          <w:lang w:val="en-US"/>
        </w:rPr>
      </w:pPr>
    </w:p>
    <w:p w:rsidR="008E7A85" w:rsidRDefault="008E7A85" w:rsidP="002C6B3B">
      <w:pPr>
        <w:spacing w:after="120"/>
        <w:rPr>
          <w:lang w:val="en-US"/>
        </w:rPr>
      </w:pPr>
    </w:p>
    <w:p w:rsidR="008E7A85" w:rsidRDefault="008E7A85" w:rsidP="002C6B3B">
      <w:pPr>
        <w:spacing w:after="120"/>
        <w:rPr>
          <w:lang w:val="en-US"/>
        </w:rPr>
      </w:pPr>
    </w:p>
    <w:p w:rsidR="008E7A85" w:rsidRDefault="008E7A85" w:rsidP="002C6B3B">
      <w:pPr>
        <w:spacing w:after="120"/>
        <w:rPr>
          <w:lang w:val="en-US"/>
        </w:rPr>
      </w:pPr>
    </w:p>
    <w:p w:rsidR="00415C62" w:rsidRPr="008E7A85" w:rsidRDefault="00415C62" w:rsidP="002C6B3B">
      <w:pPr>
        <w:spacing w:after="120"/>
        <w:rPr>
          <w:b/>
          <w:lang w:val="en-US"/>
        </w:rPr>
      </w:pPr>
      <w:r w:rsidRPr="008E7A85">
        <w:rPr>
          <w:b/>
          <w:lang w:val="en-US"/>
        </w:rPr>
        <w:t>Contacts:</w:t>
      </w:r>
    </w:p>
    <w:p w:rsidR="00415C62" w:rsidRPr="008E7A85" w:rsidRDefault="00415C62" w:rsidP="00415C62">
      <w:pPr>
        <w:spacing w:after="120"/>
        <w:rPr>
          <w:b/>
          <w:i/>
        </w:rPr>
      </w:pPr>
      <w:r w:rsidRPr="008E7A85">
        <w:rPr>
          <w:b/>
          <w:i/>
        </w:rPr>
        <w:t>Lead Partner:</w:t>
      </w:r>
    </w:p>
    <w:p w:rsidR="00415C62" w:rsidRPr="008E7A85" w:rsidRDefault="00415C62" w:rsidP="008E7A85">
      <w:pPr>
        <w:spacing w:after="0"/>
        <w:rPr>
          <w:lang w:val="en-US"/>
        </w:rPr>
      </w:pPr>
      <w:r w:rsidRPr="008E7A85">
        <w:rPr>
          <w:lang w:val="en-US"/>
        </w:rPr>
        <w:t>Dr. Klaus Bongartz</w:t>
      </w:r>
    </w:p>
    <w:p w:rsidR="00415C62" w:rsidRPr="008E7A85" w:rsidRDefault="00415C62" w:rsidP="008E7A85">
      <w:pPr>
        <w:spacing w:after="0"/>
      </w:pPr>
      <w:r w:rsidRPr="008E7A85">
        <w:t>Thüringer Ministerium für Infrastruktur und Landwirtschaft</w:t>
      </w:r>
    </w:p>
    <w:p w:rsidR="00415C62" w:rsidRPr="00415C62" w:rsidRDefault="00415C62" w:rsidP="008E7A85">
      <w:pPr>
        <w:spacing w:after="0"/>
        <w:rPr>
          <w:lang w:val="en-US"/>
        </w:rPr>
      </w:pPr>
      <w:r w:rsidRPr="00415C62">
        <w:rPr>
          <w:lang w:val="en-US"/>
        </w:rPr>
        <w:t>Referat 51 | Raumordnung und Landesplanung</w:t>
      </w:r>
    </w:p>
    <w:p w:rsidR="00415C62" w:rsidRPr="00415C62" w:rsidRDefault="00415C62" w:rsidP="008E7A85">
      <w:pPr>
        <w:spacing w:after="0"/>
        <w:rPr>
          <w:lang w:val="en-US"/>
        </w:rPr>
      </w:pPr>
      <w:r w:rsidRPr="00415C62">
        <w:rPr>
          <w:lang w:val="en-US"/>
        </w:rPr>
        <w:t>Werner-Seelenbinder-Str. 8 | 99096 Erfurt | Postfach 900362 | 99106 Erfurt | Germany</w:t>
      </w:r>
    </w:p>
    <w:p w:rsidR="00415C62" w:rsidRPr="00415C62" w:rsidRDefault="00415C62" w:rsidP="008E7A85">
      <w:pPr>
        <w:spacing w:after="0"/>
        <w:rPr>
          <w:lang w:val="en-US"/>
        </w:rPr>
      </w:pPr>
      <w:r w:rsidRPr="00415C62">
        <w:rPr>
          <w:lang w:val="en-US"/>
        </w:rPr>
        <w:t>Tel: +49 (0) 361 57-4191312 | Fax: +49 (0) 361 57-4111199</w:t>
      </w:r>
    </w:p>
    <w:p w:rsidR="00415C62" w:rsidRPr="008E7A85" w:rsidRDefault="009C40B4" w:rsidP="008E7A85">
      <w:pPr>
        <w:rPr>
          <w:rStyle w:val="Hyperlink"/>
          <w:rFonts w:eastAsiaTheme="minorEastAsia" w:cstheme="minorHAnsi"/>
          <w:noProof/>
          <w:color w:val="auto"/>
          <w:sz w:val="20"/>
          <w:szCs w:val="20"/>
          <w:lang w:eastAsia="de-DE"/>
        </w:rPr>
      </w:pPr>
      <w:hyperlink r:id="rId6" w:history="1">
        <w:r w:rsidR="00415C62" w:rsidRPr="008E7A85">
          <w:rPr>
            <w:rStyle w:val="Hyperlink"/>
            <w:rFonts w:eastAsiaTheme="minorEastAsia" w:cstheme="minorHAnsi"/>
            <w:noProof/>
            <w:color w:val="auto"/>
            <w:sz w:val="20"/>
            <w:szCs w:val="20"/>
            <w:lang w:eastAsia="de-DE"/>
          </w:rPr>
          <w:t>www.thueringen.de</w:t>
        </w:r>
      </w:hyperlink>
      <w:r w:rsidR="00415C62" w:rsidRPr="008E7A85">
        <w:rPr>
          <w:rStyle w:val="Hyperlink"/>
          <w:rFonts w:eastAsiaTheme="minorEastAsia" w:cstheme="minorHAnsi"/>
          <w:noProof/>
          <w:color w:val="auto"/>
          <w:sz w:val="20"/>
          <w:szCs w:val="20"/>
          <w:lang w:eastAsia="de-DE"/>
        </w:rPr>
        <w:t xml:space="preserve"> · </w:t>
      </w:r>
      <w:hyperlink r:id="rId7" w:history="1">
        <w:r w:rsidR="00415C62" w:rsidRPr="008E7A85">
          <w:rPr>
            <w:rStyle w:val="Hyperlink"/>
            <w:rFonts w:eastAsiaTheme="minorEastAsia" w:cstheme="minorHAnsi"/>
            <w:noProof/>
            <w:color w:val="auto"/>
            <w:sz w:val="20"/>
            <w:szCs w:val="20"/>
            <w:lang w:eastAsia="de-DE"/>
          </w:rPr>
          <w:t>klaus.bongartz@tmil.thueringen.de</w:t>
        </w:r>
      </w:hyperlink>
    </w:p>
    <w:p w:rsidR="00415C62" w:rsidRDefault="00415C62" w:rsidP="002C6B3B">
      <w:pPr>
        <w:spacing w:after="120"/>
        <w:rPr>
          <w:lang w:val="en-US"/>
        </w:rPr>
      </w:pPr>
    </w:p>
    <w:p w:rsidR="008E7A85" w:rsidRDefault="008E7A85" w:rsidP="002C6B3B">
      <w:pPr>
        <w:spacing w:after="120"/>
        <w:rPr>
          <w:b/>
          <w:i/>
          <w:lang w:val="en-US"/>
        </w:rPr>
      </w:pPr>
      <w:r w:rsidRPr="008E7A85">
        <w:rPr>
          <w:b/>
          <w:i/>
          <w:lang w:val="en-US"/>
        </w:rPr>
        <w:t xml:space="preserve">Project development consultant: </w:t>
      </w:r>
    </w:p>
    <w:p w:rsidR="008E7A85" w:rsidRPr="008E7A85" w:rsidRDefault="008E7A85" w:rsidP="008E7A85">
      <w:pPr>
        <w:spacing w:after="0"/>
      </w:pPr>
      <w:bookmarkStart w:id="1" w:name="_MailAutoSig"/>
      <w:r w:rsidRPr="008E7A85">
        <w:t>Gerald Stöger</w:t>
      </w:r>
    </w:p>
    <w:p w:rsidR="008E7A85" w:rsidRPr="008E7A85" w:rsidRDefault="008E7A85" w:rsidP="008E7A85">
      <w:pPr>
        <w:spacing w:after="0"/>
        <w:rPr>
          <w:lang w:val="en-US"/>
        </w:rPr>
      </w:pPr>
      <w:r w:rsidRPr="008E7A85">
        <w:rPr>
          <w:lang w:val="en-US"/>
        </w:rPr>
        <w:t>core-consult GmbH &amp; Co KG</w:t>
      </w:r>
    </w:p>
    <w:p w:rsidR="008E7A85" w:rsidRPr="008E7A85" w:rsidRDefault="008E7A85" w:rsidP="008E7A85">
      <w:pPr>
        <w:spacing w:after="0"/>
      </w:pPr>
      <w:r w:rsidRPr="008E7A85">
        <w:rPr>
          <w:lang w:val="en-US"/>
        </w:rPr>
        <w:t xml:space="preserve">Melanchthonstrasse 7 </w:t>
      </w:r>
      <w:r>
        <w:rPr>
          <w:lang w:val="en-US"/>
        </w:rPr>
        <w:t xml:space="preserve">| </w:t>
      </w:r>
      <w:r w:rsidRPr="008E7A85">
        <w:t>D-01099 Dresden</w:t>
      </w:r>
    </w:p>
    <w:p w:rsidR="008E7A85" w:rsidRPr="008E7A85" w:rsidRDefault="008E7A85" w:rsidP="008E7A85">
      <w:pPr>
        <w:spacing w:after="0"/>
      </w:pPr>
      <w:r w:rsidRPr="008E7A85">
        <w:t>Tel: +49 351 40 76 76 7-</w:t>
      </w:r>
      <w:r>
        <w:t>71</w:t>
      </w:r>
      <w:r w:rsidRPr="008E7A85">
        <w:t xml:space="preserve"> | Fax: +49 351 40 76 76 77 | Mobile: +49 162 269 6541</w:t>
      </w:r>
    </w:p>
    <w:p w:rsidR="008E7A85" w:rsidRPr="008E7A85" w:rsidRDefault="009C40B4" w:rsidP="008E7A85">
      <w:pPr>
        <w:rPr>
          <w:u w:val="single"/>
        </w:rPr>
      </w:pPr>
      <w:hyperlink r:id="rId8" w:tooltip="blocked::www.core-consult.de" w:history="1">
        <w:r w:rsidR="008E7A85">
          <w:rPr>
            <w:rStyle w:val="Hyperlink"/>
            <w:rFonts w:eastAsiaTheme="minorEastAsia" w:cstheme="minorHAnsi"/>
            <w:noProof/>
            <w:color w:val="auto"/>
            <w:sz w:val="20"/>
            <w:szCs w:val="20"/>
            <w:lang w:eastAsia="de-DE"/>
          </w:rPr>
          <w:t>www.core-consult.de</w:t>
        </w:r>
      </w:hyperlink>
      <w:r w:rsidR="008E7A85" w:rsidRPr="008E7A85">
        <w:rPr>
          <w:rStyle w:val="Hyperlink"/>
          <w:rFonts w:eastAsiaTheme="minorEastAsia" w:cstheme="minorHAnsi"/>
          <w:noProof/>
          <w:color w:val="auto"/>
          <w:sz w:val="20"/>
          <w:szCs w:val="20"/>
          <w:lang w:eastAsia="de-DE"/>
        </w:rPr>
        <w:t xml:space="preserve"> · </w:t>
      </w:r>
      <w:r w:rsidR="008E7A85" w:rsidRPr="008E7A85">
        <w:rPr>
          <w:rStyle w:val="Hyperlink"/>
          <w:color w:val="auto"/>
        </w:rPr>
        <w:t xml:space="preserve"> </w:t>
      </w:r>
      <w:hyperlink r:id="rId9" w:history="1">
        <w:r w:rsidR="008E7A85" w:rsidRPr="008E7A85">
          <w:rPr>
            <w:rStyle w:val="Hyperlink"/>
            <w:rFonts w:eastAsiaTheme="minorEastAsia" w:cstheme="minorHAnsi"/>
            <w:noProof/>
            <w:color w:val="auto"/>
            <w:sz w:val="20"/>
            <w:szCs w:val="20"/>
            <w:lang w:eastAsia="de-DE"/>
          </w:rPr>
          <w:t>gstoeger@core-consult.de</w:t>
        </w:r>
      </w:hyperlink>
      <w:bookmarkEnd w:id="1"/>
    </w:p>
    <w:sectPr w:rsidR="008E7A85" w:rsidRPr="008E7A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5F48"/>
    <w:multiLevelType w:val="hybridMultilevel"/>
    <w:tmpl w:val="21FAE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D5879"/>
    <w:multiLevelType w:val="hybridMultilevel"/>
    <w:tmpl w:val="D4729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B7EB4"/>
    <w:multiLevelType w:val="hybridMultilevel"/>
    <w:tmpl w:val="F530DCAC"/>
    <w:lvl w:ilvl="0" w:tplc="F294C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277EA"/>
    <w:multiLevelType w:val="hybridMultilevel"/>
    <w:tmpl w:val="5E96F3FA"/>
    <w:lvl w:ilvl="0" w:tplc="F294C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87D77"/>
    <w:multiLevelType w:val="hybridMultilevel"/>
    <w:tmpl w:val="75769010"/>
    <w:lvl w:ilvl="0" w:tplc="14FC8D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23EED34">
      <w:numFmt w:val="bullet"/>
      <w:lvlText w:val="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82715"/>
    <w:multiLevelType w:val="hybridMultilevel"/>
    <w:tmpl w:val="D0E0B864"/>
    <w:lvl w:ilvl="0" w:tplc="22FECD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E5630"/>
    <w:multiLevelType w:val="hybridMultilevel"/>
    <w:tmpl w:val="920C80E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4A5ED8"/>
    <w:multiLevelType w:val="hybridMultilevel"/>
    <w:tmpl w:val="130AC016"/>
    <w:lvl w:ilvl="0" w:tplc="F294C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61"/>
    <w:rsid w:val="00034823"/>
    <w:rsid w:val="000F7DC6"/>
    <w:rsid w:val="001757A0"/>
    <w:rsid w:val="002C6B3B"/>
    <w:rsid w:val="00415C62"/>
    <w:rsid w:val="00446A6A"/>
    <w:rsid w:val="00452486"/>
    <w:rsid w:val="004A2A8A"/>
    <w:rsid w:val="004E2DCD"/>
    <w:rsid w:val="005C3D25"/>
    <w:rsid w:val="006479C6"/>
    <w:rsid w:val="00785715"/>
    <w:rsid w:val="007F043C"/>
    <w:rsid w:val="008E7A85"/>
    <w:rsid w:val="0093077C"/>
    <w:rsid w:val="00946F15"/>
    <w:rsid w:val="00966720"/>
    <w:rsid w:val="00986297"/>
    <w:rsid w:val="009C40B4"/>
    <w:rsid w:val="009D4260"/>
    <w:rsid w:val="00BD5494"/>
    <w:rsid w:val="00C17513"/>
    <w:rsid w:val="00CD2A06"/>
    <w:rsid w:val="00D710A2"/>
    <w:rsid w:val="00DA3EE7"/>
    <w:rsid w:val="00EA5461"/>
    <w:rsid w:val="00EB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6007A-5071-4B75-A557-E6A6DEF2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enabsatzZchn">
    <w:name w:val="Listenabsatz Zchn"/>
    <w:aliases w:val="Bullet point Zchn,Listenabsatz 1 Zchn,MeineListe Zchn,Odsek zoznamu Zchn"/>
    <w:link w:val="Listenabsatz"/>
    <w:uiPriority w:val="34"/>
    <w:qFormat/>
    <w:locked/>
    <w:rsid w:val="0093077C"/>
  </w:style>
  <w:style w:type="paragraph" w:styleId="Listenabsatz">
    <w:name w:val="List Paragraph"/>
    <w:aliases w:val="Bullet point,Listenabsatz 1,MeineListe,Odsek zoznamu"/>
    <w:basedOn w:val="Standard"/>
    <w:link w:val="ListenabsatzZchn"/>
    <w:uiPriority w:val="34"/>
    <w:qFormat/>
    <w:rsid w:val="0093077C"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15C62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415C62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15C62"/>
    <w:rPr>
      <w:rFonts w:ascii="Calibri" w:hAnsi="Calibri"/>
      <w:szCs w:val="21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E7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utbind://43-00000000323585FF99834D4596F928DC8EE02F68643C2000/www.core-consult.de" TargetMode="External"/><Relationship Id="rId3" Type="http://schemas.openxmlformats.org/officeDocument/2006/relationships/styles" Target="styles.xml"/><Relationship Id="rId7" Type="http://schemas.openxmlformats.org/officeDocument/2006/relationships/hyperlink" Target="mailto:klaus.bongartz@tmil.thuering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hueringen.d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stoeger@core-consul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/>
</file>

<file path=customXml/itemProps1.xml><?xml version="1.0" encoding="utf-8"?>
<ds:datastoreItem xmlns:ds="http://schemas.openxmlformats.org/officeDocument/2006/customXml" ds:itemID="{B4123154-203B-4B68-9622-8A09DB0B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599</Words>
  <Characters>3776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Stöger</dc:creator>
  <cp:keywords/>
  <dc:description/>
  <cp:lastModifiedBy>Hellings, Anna</cp:lastModifiedBy>
  <cp:revision>2</cp:revision>
  <cp:lastPrinted>2024-01-03T16:08:00Z</cp:lastPrinted>
  <dcterms:created xsi:type="dcterms:W3CDTF">2024-02-13T16:47:00Z</dcterms:created>
  <dcterms:modified xsi:type="dcterms:W3CDTF">2024-02-13T16:47:00Z</dcterms:modified>
</cp:coreProperties>
</file>